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CD1F" w14:textId="77777777" w:rsidR="007D75CF" w:rsidRDefault="007D75CF" w:rsidP="007D75CF">
      <w:pPr>
        <w:rPr>
          <w:lang w:val="sl-SI"/>
        </w:rPr>
      </w:pPr>
    </w:p>
    <w:p w14:paraId="7D4057C1" w14:textId="77777777" w:rsidR="00B93548" w:rsidRDefault="00B93548" w:rsidP="007D75CF">
      <w:pPr>
        <w:rPr>
          <w:lang w:val="sl-SI"/>
        </w:rPr>
      </w:pPr>
    </w:p>
    <w:p w14:paraId="6FC82673" w14:textId="77777777" w:rsidR="00B93548" w:rsidRDefault="00B93548" w:rsidP="007D75CF">
      <w:pPr>
        <w:rPr>
          <w:lang w:val="sl-SI"/>
        </w:rPr>
      </w:pPr>
    </w:p>
    <w:p w14:paraId="53F2D634" w14:textId="77777777" w:rsidR="00B93548" w:rsidRPr="00BC2517" w:rsidRDefault="00B93548" w:rsidP="007D75CF">
      <w:pPr>
        <w:rPr>
          <w:lang w:val="sl-SI"/>
        </w:rPr>
      </w:pPr>
    </w:p>
    <w:p w14:paraId="1246F87F" w14:textId="77777777" w:rsidR="00B93548" w:rsidRPr="00C2090F" w:rsidRDefault="00B93548" w:rsidP="00B93548">
      <w:pPr>
        <w:keepNext/>
        <w:keepLines/>
        <w:spacing w:before="40"/>
        <w:jc w:val="both"/>
        <w:outlineLvl w:val="1"/>
        <w:rPr>
          <w:rFonts w:eastAsiaTheme="majorEastAsia" w:cs="Arial"/>
          <w:b/>
          <w:color w:val="000000" w:themeColor="text1"/>
          <w:szCs w:val="20"/>
          <w:lang w:val="sl-SI"/>
        </w:rPr>
      </w:pPr>
      <w:r w:rsidRPr="00C2090F">
        <w:rPr>
          <w:rFonts w:eastAsiaTheme="majorEastAsia" w:cs="Arial"/>
          <w:b/>
          <w:color w:val="000000" w:themeColor="text1"/>
          <w:szCs w:val="20"/>
          <w:lang w:val="sl-SI"/>
        </w:rPr>
        <w:t>POROČILO O IZVAJANJU PROJEKTA DAVČNO OPISMENJEVANJE MLADIH V ŠOLSKEM LETU 2023/2024</w:t>
      </w:r>
    </w:p>
    <w:p w14:paraId="47B7D8A2" w14:textId="77777777" w:rsidR="00B93548" w:rsidRDefault="00B93548" w:rsidP="00B93548">
      <w:pPr>
        <w:keepNext/>
        <w:keepLines/>
        <w:spacing w:before="40"/>
        <w:jc w:val="both"/>
        <w:outlineLvl w:val="1"/>
        <w:rPr>
          <w:rFonts w:eastAsiaTheme="majorEastAsia" w:cs="Arial"/>
          <w:color w:val="000000" w:themeColor="text1"/>
          <w:szCs w:val="20"/>
          <w:lang w:val="sl-SI"/>
        </w:rPr>
      </w:pPr>
    </w:p>
    <w:p w14:paraId="72FE970A" w14:textId="77777777" w:rsidR="00B93548" w:rsidRPr="00C2090F" w:rsidRDefault="00B93548" w:rsidP="00B93548">
      <w:pPr>
        <w:keepNext/>
        <w:keepLines/>
        <w:spacing w:before="40"/>
        <w:jc w:val="both"/>
        <w:outlineLvl w:val="1"/>
        <w:rPr>
          <w:rFonts w:eastAsiaTheme="majorEastAsia" w:cs="Arial"/>
          <w:color w:val="000000" w:themeColor="text1"/>
          <w:szCs w:val="20"/>
          <w:lang w:val="sl-SI"/>
        </w:rPr>
      </w:pPr>
    </w:p>
    <w:p w14:paraId="2BF552D2" w14:textId="77777777" w:rsidR="00B93548" w:rsidRPr="00C2090F" w:rsidRDefault="00B93548" w:rsidP="00B93548">
      <w:pPr>
        <w:pStyle w:val="Odstavekseznama"/>
        <w:keepNext/>
        <w:keepLines/>
        <w:numPr>
          <w:ilvl w:val="0"/>
          <w:numId w:val="6"/>
        </w:numPr>
        <w:spacing w:before="40" w:after="0"/>
        <w:jc w:val="both"/>
        <w:outlineLvl w:val="1"/>
        <w:rPr>
          <w:rFonts w:ascii="Arial" w:eastAsiaTheme="majorEastAsia" w:hAnsi="Arial" w:cs="Arial"/>
          <w:b/>
          <w:color w:val="000000" w:themeColor="text1"/>
          <w:sz w:val="20"/>
          <w:szCs w:val="20"/>
        </w:rPr>
      </w:pPr>
      <w:r w:rsidRPr="00C2090F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Izvajanje predavanj v okviru projekta in izvedba evalvacije</w:t>
      </w:r>
    </w:p>
    <w:p w14:paraId="7D770340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59C49A98" w14:textId="77777777" w:rsidR="00B93548" w:rsidRPr="00527CF9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>V šolskem letu 2023/2024 je že deseto leto potekalo izvajanje projekta Davčno opismenjevanje mladih. Vsem osnovnim in srednjim šolam v Sloveniji je bilo poslano povabilo za sodelovanje v projektu. V projekt se je prijavil</w:t>
      </w:r>
      <w:r>
        <w:rPr>
          <w:rFonts w:cs="Arial"/>
          <w:szCs w:val="20"/>
          <w:lang w:val="sl-SI"/>
        </w:rPr>
        <w:t>a</w:t>
      </w:r>
      <w:r w:rsidRPr="00C2090F">
        <w:rPr>
          <w:rFonts w:cs="Arial"/>
          <w:szCs w:val="20"/>
          <w:lang w:val="sl-SI"/>
        </w:rPr>
        <w:t xml:space="preserve"> 101 šol</w:t>
      </w:r>
      <w:r>
        <w:rPr>
          <w:rFonts w:cs="Arial"/>
          <w:szCs w:val="20"/>
          <w:lang w:val="sl-SI"/>
        </w:rPr>
        <w:t xml:space="preserve">a, kar je za 19% manj kot leto pred tem, ko se je </w:t>
      </w:r>
      <w:r w:rsidRPr="00C2090F">
        <w:rPr>
          <w:rFonts w:cs="Arial"/>
          <w:szCs w:val="20"/>
          <w:lang w:val="sl-SI"/>
        </w:rPr>
        <w:t>prijavilo rekordno število 125 šol</w:t>
      </w:r>
      <w:r>
        <w:rPr>
          <w:rFonts w:cs="Arial"/>
          <w:szCs w:val="20"/>
          <w:lang w:val="sl-SI"/>
        </w:rPr>
        <w:t xml:space="preserve">. </w:t>
      </w:r>
      <w:r w:rsidRPr="00C2090F">
        <w:rPr>
          <w:rFonts w:cs="Arial"/>
          <w:szCs w:val="20"/>
          <w:lang w:val="sl-SI"/>
        </w:rPr>
        <w:t>Od 101 šol je bilo prijavljenih 45 osnovnih in 44 srednjih šol ter 12 osnovnih šol za izvedbe delavnic za otroke v 3. razredu osnovne šole.</w:t>
      </w:r>
      <w:r w:rsidRPr="004A7A33">
        <w:rPr>
          <w:rFonts w:cs="Arial"/>
          <w:szCs w:val="20"/>
          <w:lang w:val="sl-SI"/>
        </w:rPr>
        <w:t xml:space="preserve"> </w:t>
      </w:r>
      <w:r w:rsidRPr="00C2090F">
        <w:rPr>
          <w:rFonts w:cs="Arial"/>
          <w:szCs w:val="20"/>
          <w:lang w:val="sl-SI"/>
        </w:rPr>
        <w:t>Skupno je bilo opravljenih 216 predavanj za osnovnošolce</w:t>
      </w:r>
      <w:r>
        <w:rPr>
          <w:rFonts w:cs="Arial"/>
          <w:szCs w:val="20"/>
          <w:lang w:val="sl-SI"/>
        </w:rPr>
        <w:t xml:space="preserve"> in</w:t>
      </w:r>
      <w:r w:rsidRPr="00C2090F">
        <w:rPr>
          <w:rFonts w:cs="Arial"/>
          <w:szCs w:val="20"/>
          <w:lang w:val="sl-SI"/>
        </w:rPr>
        <w:t xml:space="preserve"> srednješolce ter 28 delavnic za otroke v tretjem razredu osnovne šole. </w:t>
      </w:r>
      <w:r>
        <w:rPr>
          <w:rFonts w:cs="Arial"/>
          <w:szCs w:val="20"/>
          <w:lang w:val="sl-SI"/>
        </w:rPr>
        <w:t>V tem šolskem letu za študente predavanj nismo izvajali.</w:t>
      </w:r>
    </w:p>
    <w:p w14:paraId="666BAC3B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4BBB4CAB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>Šolam smo ob prijavi ponovno omogočili, da so izbrale način, na katerega so želele, da potekajo predavanja oz. delavnice, in sicer so lahko izbirale med možnostmi izvedbe v živo v razredu</w:t>
      </w:r>
      <w:r>
        <w:rPr>
          <w:rFonts w:cs="Arial"/>
          <w:szCs w:val="20"/>
          <w:lang w:val="sl-SI"/>
        </w:rPr>
        <w:t xml:space="preserve"> in </w:t>
      </w:r>
      <w:r w:rsidRPr="00C2090F">
        <w:rPr>
          <w:rFonts w:cs="Arial"/>
          <w:szCs w:val="20"/>
          <w:lang w:val="sl-SI"/>
        </w:rPr>
        <w:t>on-line. Prav vse izvedbe smo v tem šolskem letu ponovno izvedli le v živo, tako kot pred epidemijo.</w:t>
      </w:r>
    </w:p>
    <w:p w14:paraId="6B7911E9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1EB11706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>Predavanja je v tem šolskem letu izvajalo 32 uslužbencev FURS – predavateljev. Vključenih je bilo 6.</w:t>
      </w:r>
      <w:r>
        <w:rPr>
          <w:rFonts w:cs="Arial"/>
          <w:szCs w:val="20"/>
          <w:lang w:val="sl-SI"/>
        </w:rPr>
        <w:t>935</w:t>
      </w:r>
      <w:r w:rsidRPr="00C2090F">
        <w:rPr>
          <w:rFonts w:cs="Arial"/>
          <w:szCs w:val="20"/>
          <w:lang w:val="sl-SI"/>
        </w:rPr>
        <w:t xml:space="preserve"> učencev in dijakov, kar je </w:t>
      </w:r>
      <w:r>
        <w:rPr>
          <w:rFonts w:cs="Arial"/>
          <w:szCs w:val="20"/>
          <w:lang w:val="sl-SI"/>
        </w:rPr>
        <w:t>za 18</w:t>
      </w:r>
      <w:r w:rsidRPr="00C2090F">
        <w:rPr>
          <w:rFonts w:cs="Arial"/>
          <w:szCs w:val="20"/>
          <w:lang w:val="sl-SI"/>
        </w:rPr>
        <w:t xml:space="preserve">% manj kot preteklo leto.  </w:t>
      </w:r>
    </w:p>
    <w:p w14:paraId="0ACD12EE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785BEE74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>Kot vsako leto je bila tudi v tem šolskem letu evalvacija predavanj izvedena na spletni način preko pametnih telefonov z orodjem 1KA. Odziv mladih je bil dober, anketirali smo 6</w:t>
      </w:r>
      <w:r>
        <w:rPr>
          <w:rFonts w:cs="Arial"/>
          <w:szCs w:val="20"/>
          <w:lang w:val="sl-SI"/>
        </w:rPr>
        <w:t>.</w:t>
      </w:r>
      <w:r w:rsidRPr="00C2090F">
        <w:rPr>
          <w:rFonts w:cs="Arial"/>
          <w:szCs w:val="20"/>
          <w:lang w:val="sl-SI"/>
        </w:rPr>
        <w:t>399 mladih in 4842 vprašalnikov oz. 76% anketiranih je bilo ustreznih za analizo. Ker je</w:t>
      </w:r>
      <w:r>
        <w:rPr>
          <w:rFonts w:cs="Arial"/>
          <w:szCs w:val="20"/>
          <w:lang w:val="sl-SI"/>
        </w:rPr>
        <w:t xml:space="preserve"> potekalo</w:t>
      </w:r>
      <w:r w:rsidRPr="00C2090F">
        <w:rPr>
          <w:rFonts w:cs="Arial"/>
          <w:szCs w:val="20"/>
          <w:lang w:val="sl-SI"/>
        </w:rPr>
        <w:t xml:space="preserve"> izvajanje vseh predavanj v razredih, je ob prisotnosti predavatelja in učitelja odzivnost učencev na anketo visoka</w:t>
      </w:r>
      <w:r>
        <w:rPr>
          <w:rFonts w:cs="Arial"/>
          <w:szCs w:val="20"/>
          <w:lang w:val="sl-SI"/>
        </w:rPr>
        <w:t>. Otrok v tretjem razredu osnovne šole ne anketiramo.</w:t>
      </w:r>
    </w:p>
    <w:p w14:paraId="79D7C89B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6637D4DF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>Podatki so v analizi razdeljeni na dve skupini: pod oznako DA so predstavljeni rezultati mladih, ki so poslušali predavanja in po tem odgovorili na anketni vprašalnik (77% vseh anket), in pod oznako NE t. im. kontrolna skupina, ki predstavlja odgovore mladih, ki predavanj niso poslušali (23% vseh anket). Primerjali smo podatke obeh skupin in tako merili učinek, ki ga je predavanje imelo na zavedanje mladih o pomenu davkov in s tem tudi na njihovo davčno pismenost.</w:t>
      </w:r>
    </w:p>
    <w:p w14:paraId="06EE64E1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02A0B481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6A396525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36EA23B2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</w:p>
    <w:p w14:paraId="4F6839AE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6C79B621" w14:textId="77777777" w:rsidR="00B93548" w:rsidRPr="00C2090F" w:rsidRDefault="00B93548" w:rsidP="00B93548">
      <w:pPr>
        <w:pStyle w:val="Odstavekseznama"/>
        <w:keepNext/>
        <w:keepLines/>
        <w:numPr>
          <w:ilvl w:val="0"/>
          <w:numId w:val="6"/>
        </w:numPr>
        <w:spacing w:before="40" w:after="0"/>
        <w:jc w:val="both"/>
        <w:outlineLvl w:val="2"/>
        <w:rPr>
          <w:rFonts w:ascii="Arial" w:eastAsiaTheme="majorEastAsia" w:hAnsi="Arial" w:cs="Arial"/>
          <w:b/>
          <w:sz w:val="20"/>
          <w:szCs w:val="20"/>
        </w:rPr>
      </w:pPr>
      <w:bookmarkStart w:id="0" w:name="_Toc489269253"/>
      <w:r w:rsidRPr="00C2090F">
        <w:rPr>
          <w:rFonts w:ascii="Arial" w:eastAsiaTheme="majorEastAsia" w:hAnsi="Arial" w:cs="Arial"/>
          <w:b/>
          <w:sz w:val="20"/>
          <w:szCs w:val="20"/>
        </w:rPr>
        <w:lastRenderedPageBreak/>
        <w:t>Predstavitev rezultatov evalvacije</w:t>
      </w:r>
    </w:p>
    <w:p w14:paraId="144CFBBD" w14:textId="77777777" w:rsidR="00B93548" w:rsidRPr="00C2090F" w:rsidRDefault="00B93548" w:rsidP="00B93548">
      <w:pPr>
        <w:keepNext/>
        <w:keepLines/>
        <w:spacing w:before="40"/>
        <w:jc w:val="both"/>
        <w:outlineLvl w:val="2"/>
        <w:rPr>
          <w:rFonts w:eastAsiaTheme="majorEastAsia" w:cs="Arial"/>
          <w:b/>
          <w:szCs w:val="20"/>
          <w:lang w:val="sl-SI"/>
        </w:rPr>
      </w:pPr>
    </w:p>
    <w:bookmarkEnd w:id="0"/>
    <w:p w14:paraId="68623CED" w14:textId="77777777" w:rsidR="00B93548" w:rsidRPr="00C2090F" w:rsidRDefault="00B93548" w:rsidP="00B93548">
      <w:pPr>
        <w:pStyle w:val="Odstavekseznama"/>
        <w:keepNext/>
        <w:keepLines/>
        <w:numPr>
          <w:ilvl w:val="1"/>
          <w:numId w:val="6"/>
        </w:numPr>
        <w:spacing w:before="40" w:after="0"/>
        <w:jc w:val="both"/>
        <w:outlineLvl w:val="2"/>
        <w:rPr>
          <w:rFonts w:ascii="Arial" w:eastAsiaTheme="majorEastAsia" w:hAnsi="Arial" w:cs="Arial"/>
          <w:b/>
          <w:sz w:val="20"/>
          <w:szCs w:val="20"/>
        </w:rPr>
      </w:pPr>
      <w:r w:rsidRPr="00C2090F">
        <w:rPr>
          <w:rFonts w:ascii="Arial" w:hAnsi="Arial" w:cs="Arial"/>
          <w:b/>
          <w:iCs/>
          <w:color w:val="000000" w:themeColor="text1"/>
          <w:sz w:val="20"/>
          <w:szCs w:val="20"/>
        </w:rPr>
        <w:t>Starostna struktura udeležencev</w:t>
      </w:r>
    </w:p>
    <w:p w14:paraId="1BC843F0" w14:textId="77777777" w:rsidR="00B93548" w:rsidRPr="00C2090F" w:rsidRDefault="00B93548" w:rsidP="00B93548">
      <w:pPr>
        <w:jc w:val="both"/>
        <w:rPr>
          <w:rFonts w:eastAsiaTheme="majorEastAsia" w:cs="Arial"/>
          <w:szCs w:val="20"/>
          <w:lang w:val="sl-SI"/>
        </w:rPr>
      </w:pPr>
      <w:bookmarkStart w:id="1" w:name="_Toc489269263"/>
    </w:p>
    <w:p w14:paraId="6CE320FB" w14:textId="77777777" w:rsidR="00B93548" w:rsidRDefault="00B93548" w:rsidP="00B93548">
      <w:pPr>
        <w:jc w:val="both"/>
        <w:rPr>
          <w:rFonts w:eastAsiaTheme="majorEastAsia" w:cs="Arial"/>
          <w:szCs w:val="20"/>
          <w:lang w:val="sl-SI"/>
        </w:rPr>
      </w:pPr>
      <w:r w:rsidRPr="00C2090F">
        <w:rPr>
          <w:rFonts w:eastAsiaTheme="majorEastAsia" w:cs="Arial"/>
          <w:szCs w:val="20"/>
          <w:lang w:val="sl-SI"/>
        </w:rPr>
        <w:t>V analizo je bilo zajetih največ mladih v starostni skupini 16 – 18 let (48%), sledijo skupine  v starosti do 14 let (31%), od 14 – 15 let (14%) in nato več kot 18 let (7%).</w:t>
      </w:r>
    </w:p>
    <w:p w14:paraId="6075325F" w14:textId="77777777" w:rsidR="00B93548" w:rsidRDefault="00B93548" w:rsidP="00B93548">
      <w:pPr>
        <w:jc w:val="both"/>
        <w:rPr>
          <w:rFonts w:eastAsiaTheme="majorEastAsia" w:cs="Arial"/>
          <w:szCs w:val="20"/>
          <w:lang w:val="sl-SI"/>
        </w:rPr>
      </w:pPr>
    </w:p>
    <w:p w14:paraId="0B1A43A7" w14:textId="77777777" w:rsidR="00B93548" w:rsidRPr="00C2090F" w:rsidRDefault="00B93548" w:rsidP="00B93548">
      <w:pPr>
        <w:jc w:val="both"/>
        <w:rPr>
          <w:rFonts w:eastAsiaTheme="majorEastAsia" w:cs="Arial"/>
          <w:szCs w:val="20"/>
          <w:lang w:val="sl-SI"/>
        </w:rPr>
      </w:pPr>
    </w:p>
    <w:p w14:paraId="09A208AE" w14:textId="77777777" w:rsidR="00B93548" w:rsidRPr="00C2090F" w:rsidRDefault="00B93548" w:rsidP="00B93548">
      <w:pPr>
        <w:pStyle w:val="Odstavekseznama"/>
        <w:keepNext/>
        <w:keepLines/>
        <w:numPr>
          <w:ilvl w:val="1"/>
          <w:numId w:val="6"/>
        </w:numPr>
        <w:spacing w:before="40" w:after="0"/>
        <w:jc w:val="both"/>
        <w:outlineLvl w:val="3"/>
        <w:rPr>
          <w:rFonts w:ascii="Arial" w:eastAsiaTheme="majorEastAsia" w:hAnsi="Arial" w:cs="Arial"/>
          <w:b/>
          <w:iCs/>
          <w:color w:val="000000" w:themeColor="text1"/>
          <w:sz w:val="20"/>
          <w:szCs w:val="20"/>
        </w:rPr>
      </w:pPr>
      <w:bookmarkStart w:id="2" w:name="_Toc489269264"/>
      <w:bookmarkEnd w:id="1"/>
      <w:r w:rsidRPr="00C2090F">
        <w:rPr>
          <w:rFonts w:ascii="Arial" w:eastAsiaTheme="majorEastAsia" w:hAnsi="Arial" w:cs="Arial"/>
          <w:b/>
          <w:iCs/>
          <w:color w:val="000000" w:themeColor="text1"/>
          <w:sz w:val="20"/>
          <w:szCs w:val="20"/>
        </w:rPr>
        <w:t>Pomen besede »Davek«</w:t>
      </w:r>
      <w:bookmarkEnd w:id="2"/>
    </w:p>
    <w:p w14:paraId="2833B8BB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tbl>
      <w:tblPr>
        <w:tblW w:w="8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205"/>
        <w:gridCol w:w="1205"/>
      </w:tblGrid>
      <w:tr w:rsidR="00B93548" w:rsidRPr="00C2090F" w14:paraId="63FF77D4" w14:textId="77777777" w:rsidTr="006E69EF">
        <w:trPr>
          <w:trHeight w:val="468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29647" w14:textId="77777777" w:rsidR="00B93548" w:rsidRPr="00C2090F" w:rsidRDefault="00B93548" w:rsidP="006E69EF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Kaj za tebe pomeni beseda davek? </w:t>
            </w:r>
            <w:r w:rsidRPr="00C2090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(možnih je več odgovorov)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126A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DA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B2035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b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color w:val="000000"/>
                <w:szCs w:val="20"/>
                <w:lang w:val="sl-SI" w:eastAsia="sl-SI"/>
              </w:rPr>
              <w:t>NE</w:t>
            </w:r>
          </w:p>
        </w:tc>
      </w:tr>
      <w:tr w:rsidR="00B93548" w:rsidRPr="00C2090F" w14:paraId="210CBA3A" w14:textId="77777777" w:rsidTr="006E69EF">
        <w:trPr>
          <w:trHeight w:val="414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4F37B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Davek je obvezna denarna dajatev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D8C01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55 %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0BF6E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55 %</w:t>
            </w:r>
          </w:p>
        </w:tc>
      </w:tr>
      <w:tr w:rsidR="00B93548" w:rsidRPr="00C2090F" w14:paraId="7021B375" w14:textId="77777777" w:rsidTr="006E69EF">
        <w:trPr>
          <w:trHeight w:val="419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FFB1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Davek je obremenitev za državljane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DDAC1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7 %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F376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13 %</w:t>
            </w:r>
          </w:p>
        </w:tc>
      </w:tr>
      <w:tr w:rsidR="00B93548" w:rsidRPr="00C2090F" w14:paraId="3B09F43F" w14:textId="77777777" w:rsidTr="006E69EF">
        <w:trPr>
          <w:trHeight w:val="411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752E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Davek je pomemben za delovanje države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25248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36 %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B7590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25 %</w:t>
            </w:r>
          </w:p>
        </w:tc>
      </w:tr>
      <w:tr w:rsidR="00B93548" w:rsidRPr="00C2090F" w14:paraId="35C273A2" w14:textId="77777777" w:rsidTr="006E69EF">
        <w:trPr>
          <w:trHeight w:val="418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F40D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Davek je "ne bodi ga treba"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E3E10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2 %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FAD27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7 %</w:t>
            </w:r>
          </w:p>
        </w:tc>
      </w:tr>
    </w:tbl>
    <w:p w14:paraId="7FDADCBF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</w:p>
    <w:p w14:paraId="0A5395DC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>Anketiranci so pri tem vprašanju lahko podali več odgovorov</w:t>
      </w:r>
      <w:r w:rsidRPr="00C2090F">
        <w:rPr>
          <w:rFonts w:cs="Arial"/>
          <w:i/>
          <w:iCs/>
          <w:szCs w:val="20"/>
          <w:lang w:val="sl-SI"/>
        </w:rPr>
        <w:t xml:space="preserve">. </w:t>
      </w:r>
      <w:r w:rsidRPr="00C2090F">
        <w:rPr>
          <w:rFonts w:cs="Arial"/>
          <w:szCs w:val="20"/>
          <w:lang w:val="sl-SI"/>
        </w:rPr>
        <w:t xml:space="preserve">Da je imelo predavanje pozitiven učinek, kažejo rezultati, ko primerjamo odgovore obeh skupin mladih, in sicer se je po poslušanju predavanja </w:t>
      </w:r>
      <w:r>
        <w:rPr>
          <w:rFonts w:cs="Arial"/>
          <w:szCs w:val="20"/>
          <w:lang w:val="sl-SI"/>
        </w:rPr>
        <w:t xml:space="preserve">skoraj prepolovil </w:t>
      </w:r>
      <w:r w:rsidRPr="00C2090F">
        <w:rPr>
          <w:rFonts w:cs="Arial"/>
          <w:szCs w:val="20"/>
          <w:lang w:val="sl-SI"/>
        </w:rPr>
        <w:t xml:space="preserve">delež tistih, ki menijo, da je davek le </w:t>
      </w:r>
      <w:r>
        <w:rPr>
          <w:rFonts w:cs="Arial"/>
          <w:szCs w:val="20"/>
          <w:lang w:val="sl-SI"/>
        </w:rPr>
        <w:t xml:space="preserve">obremenitev za državljane, močno se je zmanjšal delež tistih, ki menijo, da je le </w:t>
      </w:r>
      <w:r w:rsidRPr="00C2090F">
        <w:rPr>
          <w:rFonts w:cs="Arial"/>
          <w:szCs w:val="20"/>
          <w:lang w:val="sl-SI"/>
        </w:rPr>
        <w:t xml:space="preserve">»ne bodi ga treba«, povečal pa se je delež tistih, ki so po predavanju menili, da je davek pomemben za delovanje države. </w:t>
      </w:r>
    </w:p>
    <w:p w14:paraId="43A8BFCF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3BD34C74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3428D954" w14:textId="77777777" w:rsidR="00B93548" w:rsidRPr="00C2090F" w:rsidRDefault="00B93548" w:rsidP="00B93548">
      <w:pPr>
        <w:spacing w:after="200" w:line="240" w:lineRule="auto"/>
        <w:jc w:val="both"/>
        <w:rPr>
          <w:rFonts w:cs="Arial"/>
          <w:b/>
          <w:iCs/>
          <w:color w:val="000000" w:themeColor="text1"/>
          <w:szCs w:val="20"/>
          <w:lang w:val="sl-SI"/>
        </w:rPr>
      </w:pPr>
      <w:r w:rsidRPr="00C2090F">
        <w:rPr>
          <w:rFonts w:cs="Arial"/>
          <w:b/>
          <w:iCs/>
          <w:color w:val="000000" w:themeColor="text1"/>
          <w:szCs w:val="20"/>
          <w:lang w:val="sl-SI"/>
        </w:rPr>
        <w:t>Grafični prikaz odgovorov</w:t>
      </w:r>
    </w:p>
    <w:p w14:paraId="1E264788" w14:textId="77777777" w:rsidR="00B93548" w:rsidRPr="00C2090F" w:rsidRDefault="00B93548" w:rsidP="00B93548">
      <w:pPr>
        <w:spacing w:after="200" w:line="240" w:lineRule="auto"/>
        <w:jc w:val="both"/>
        <w:rPr>
          <w:rFonts w:cs="Arial"/>
          <w:b/>
          <w:iCs/>
          <w:color w:val="000000" w:themeColor="text1"/>
          <w:szCs w:val="20"/>
          <w:lang w:val="sl-SI"/>
        </w:rPr>
      </w:pPr>
      <w:r w:rsidRPr="00C2090F">
        <w:rPr>
          <w:noProof/>
          <w:lang w:val="sl-SI"/>
        </w:rPr>
        <w:drawing>
          <wp:inline distT="0" distB="0" distL="0" distR="0" wp14:anchorId="2FE88627" wp14:editId="066F445D">
            <wp:extent cx="5099050" cy="2743200"/>
            <wp:effectExtent l="0" t="0" r="6350" b="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66CAC1AA-647D-364B-D3D8-2962C7E286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92E1FB" w14:textId="77777777" w:rsidR="00B93548" w:rsidRDefault="00B93548" w:rsidP="00B93548">
      <w:pPr>
        <w:spacing w:after="200" w:line="240" w:lineRule="auto"/>
        <w:jc w:val="both"/>
        <w:rPr>
          <w:rFonts w:cs="Arial"/>
          <w:b/>
          <w:iCs/>
          <w:color w:val="000000" w:themeColor="text1"/>
          <w:szCs w:val="20"/>
          <w:lang w:val="sl-SI"/>
        </w:rPr>
      </w:pPr>
    </w:p>
    <w:p w14:paraId="46F42F27" w14:textId="77777777" w:rsidR="00B93548" w:rsidRDefault="00B93548" w:rsidP="00B93548">
      <w:pPr>
        <w:spacing w:after="200" w:line="240" w:lineRule="auto"/>
        <w:jc w:val="both"/>
        <w:rPr>
          <w:rFonts w:cs="Arial"/>
          <w:b/>
          <w:iCs/>
          <w:color w:val="000000" w:themeColor="text1"/>
          <w:szCs w:val="20"/>
          <w:lang w:val="sl-SI"/>
        </w:rPr>
      </w:pPr>
    </w:p>
    <w:p w14:paraId="20C1C443" w14:textId="77777777" w:rsidR="00B93548" w:rsidRDefault="00B93548" w:rsidP="00B93548">
      <w:pPr>
        <w:spacing w:after="200" w:line="240" w:lineRule="auto"/>
        <w:jc w:val="both"/>
        <w:rPr>
          <w:rFonts w:cs="Arial"/>
          <w:b/>
          <w:iCs/>
          <w:color w:val="000000" w:themeColor="text1"/>
          <w:szCs w:val="20"/>
          <w:lang w:val="sl-SI"/>
        </w:rPr>
      </w:pPr>
    </w:p>
    <w:p w14:paraId="4492F0B1" w14:textId="77777777" w:rsidR="00B93548" w:rsidRPr="00C2090F" w:rsidRDefault="00B93548" w:rsidP="00B93548">
      <w:pPr>
        <w:spacing w:after="200" w:line="240" w:lineRule="auto"/>
        <w:jc w:val="both"/>
        <w:rPr>
          <w:rFonts w:cs="Arial"/>
          <w:b/>
          <w:iCs/>
          <w:color w:val="000000" w:themeColor="text1"/>
          <w:szCs w:val="20"/>
          <w:lang w:val="sl-SI"/>
        </w:rPr>
      </w:pPr>
    </w:p>
    <w:p w14:paraId="54289289" w14:textId="77777777" w:rsidR="00B93548" w:rsidRPr="00C2090F" w:rsidRDefault="00B93548" w:rsidP="00B93548">
      <w:pPr>
        <w:pStyle w:val="Odstavekseznama"/>
        <w:keepNext/>
        <w:keepLines/>
        <w:numPr>
          <w:ilvl w:val="1"/>
          <w:numId w:val="6"/>
        </w:numPr>
        <w:spacing w:before="40" w:after="0"/>
        <w:jc w:val="both"/>
        <w:outlineLvl w:val="3"/>
        <w:rPr>
          <w:rFonts w:ascii="Arial" w:eastAsiaTheme="majorEastAsia" w:hAnsi="Arial" w:cs="Arial"/>
          <w:b/>
          <w:iCs/>
          <w:color w:val="000000" w:themeColor="text1"/>
          <w:sz w:val="20"/>
          <w:szCs w:val="20"/>
        </w:rPr>
      </w:pPr>
      <w:bookmarkStart w:id="3" w:name="_Toc489269266"/>
      <w:r w:rsidRPr="00C2090F">
        <w:rPr>
          <w:rFonts w:ascii="Arial" w:eastAsiaTheme="majorEastAsia" w:hAnsi="Arial" w:cs="Arial"/>
          <w:b/>
          <w:iCs/>
          <w:color w:val="000000" w:themeColor="text1"/>
          <w:sz w:val="20"/>
          <w:szCs w:val="20"/>
        </w:rPr>
        <w:lastRenderedPageBreak/>
        <w:t>Ali ob nakupu vzameš račun?</w:t>
      </w:r>
      <w:bookmarkEnd w:id="3"/>
      <w:r w:rsidRPr="00C2090F">
        <w:rPr>
          <w:rFonts w:ascii="Arial" w:eastAsiaTheme="majorEastAsia" w:hAnsi="Arial" w:cs="Arial"/>
          <w:b/>
          <w:iCs/>
          <w:color w:val="000000" w:themeColor="text1"/>
          <w:sz w:val="20"/>
          <w:szCs w:val="20"/>
        </w:rPr>
        <w:t xml:space="preserve"> </w:t>
      </w:r>
    </w:p>
    <w:p w14:paraId="338A829D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tbl>
      <w:tblPr>
        <w:tblW w:w="8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992"/>
        <w:gridCol w:w="992"/>
      </w:tblGrid>
      <w:tr w:rsidR="00B93548" w:rsidRPr="00C2090F" w14:paraId="3A043357" w14:textId="77777777" w:rsidTr="006E69EF">
        <w:trPr>
          <w:trHeight w:val="49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189A4" w14:textId="77777777" w:rsidR="00B93548" w:rsidRPr="00C2090F" w:rsidRDefault="00B93548" w:rsidP="006E69EF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Zakaj se ti zdi pomembno, da vzameš račun </w:t>
            </w:r>
            <w:r w:rsidRPr="00C2090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(možnih je več odgovorov)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A32CB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B63E5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NE</w:t>
            </w:r>
          </w:p>
        </w:tc>
      </w:tr>
      <w:tr w:rsidR="00B93548" w:rsidRPr="00C2090F" w14:paraId="2E2045F3" w14:textId="77777777" w:rsidTr="006E69EF">
        <w:trPr>
          <w:trHeight w:val="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260DA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Da lahko z njim uveljavljam garancijo na izdelek ali storitev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A79A3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58 %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D95860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70%</w:t>
            </w:r>
          </w:p>
        </w:tc>
      </w:tr>
      <w:tr w:rsidR="00B93548" w:rsidRPr="00C2090F" w14:paraId="5002C82C" w14:textId="77777777" w:rsidTr="006E69EF">
        <w:trPr>
          <w:trHeight w:val="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8447C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Ker doma zbiramo vse račune glede družinske potrošnje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80E48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8B3B3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9 %</w:t>
            </w:r>
          </w:p>
        </w:tc>
      </w:tr>
      <w:tr w:rsidR="00B93548" w:rsidRPr="00C2090F" w14:paraId="47EB7603" w14:textId="77777777" w:rsidTr="006E69EF">
        <w:trPr>
          <w:trHeight w:val="5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61A47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Da lahko staršem pokažem, da sem denar res porabil za tisto, kar je bilo dogovorjeno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AC48C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15 %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315E3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23 %</w:t>
            </w:r>
          </w:p>
        </w:tc>
      </w:tr>
      <w:tr w:rsidR="00B93548" w:rsidRPr="00C2090F" w14:paraId="42A74D9F" w14:textId="77777777" w:rsidTr="006E69EF">
        <w:trPr>
          <w:trHeight w:val="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B350C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Ker ga prodajalec lahko izbriše iz blagajne in ne plača davka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CECCAD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20 %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8ECEFB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18 %</w:t>
            </w:r>
          </w:p>
        </w:tc>
      </w:tr>
      <w:tr w:rsidR="00B93548" w:rsidRPr="00C2090F" w14:paraId="43AE558C" w14:textId="77777777" w:rsidTr="006E69EF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9AFD2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Ni pomembno jemati računa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AC3B6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9 %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F2EE57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16 %</w:t>
            </w:r>
          </w:p>
        </w:tc>
      </w:tr>
    </w:tbl>
    <w:p w14:paraId="1214C2D0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41826F11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 xml:space="preserve">Po poslušanju predavanj se je </w:t>
      </w:r>
      <w:r>
        <w:rPr>
          <w:rFonts w:cs="Arial"/>
          <w:szCs w:val="20"/>
          <w:lang w:val="sl-SI"/>
        </w:rPr>
        <w:t xml:space="preserve">malce </w:t>
      </w:r>
      <w:r w:rsidRPr="00C2090F">
        <w:rPr>
          <w:rFonts w:cs="Arial"/>
          <w:szCs w:val="20"/>
          <w:lang w:val="sl-SI"/>
        </w:rPr>
        <w:t xml:space="preserve">povečal delež tistih, ki se zavedajo, da v primeru, da računa ne vzamejo, prodajalec le-tega lahko izbriše iz blagajne in s tem utaji davek. </w:t>
      </w:r>
      <w:r>
        <w:rPr>
          <w:rFonts w:cs="Arial"/>
          <w:szCs w:val="20"/>
          <w:lang w:val="sl-SI"/>
        </w:rPr>
        <w:t>S</w:t>
      </w:r>
      <w:r w:rsidRPr="00C2090F">
        <w:rPr>
          <w:rFonts w:cs="Arial"/>
          <w:szCs w:val="20"/>
          <w:lang w:val="sl-SI"/>
        </w:rPr>
        <w:t xml:space="preserve">e je </w:t>
      </w:r>
      <w:r>
        <w:rPr>
          <w:rFonts w:cs="Arial"/>
          <w:szCs w:val="20"/>
          <w:lang w:val="sl-SI"/>
        </w:rPr>
        <w:t xml:space="preserve">pa </w:t>
      </w:r>
      <w:r w:rsidRPr="00C2090F">
        <w:rPr>
          <w:rFonts w:cs="Arial"/>
          <w:szCs w:val="20"/>
          <w:lang w:val="sl-SI"/>
        </w:rPr>
        <w:t>po predavanjih pomembno zmanjšal delež mladih, ki menijo, da ni pomembno jemati računa. Sporočilo predavanja, da je izdajanje računa osnova za vplačilo ob prodaji zaračunanega davka v proračun, je doseglo svoj namen.</w:t>
      </w:r>
    </w:p>
    <w:p w14:paraId="43EBC048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463C7395" w14:textId="77777777" w:rsidR="00B93548" w:rsidRPr="00C2090F" w:rsidRDefault="00B93548" w:rsidP="00B93548">
      <w:pPr>
        <w:spacing w:after="200" w:line="240" w:lineRule="auto"/>
        <w:jc w:val="both"/>
        <w:rPr>
          <w:rFonts w:cs="Arial"/>
          <w:b/>
          <w:iCs/>
          <w:color w:val="000000" w:themeColor="text1"/>
          <w:szCs w:val="20"/>
          <w:lang w:val="sl-SI"/>
        </w:rPr>
      </w:pPr>
      <w:r w:rsidRPr="00C2090F">
        <w:rPr>
          <w:rFonts w:cs="Arial"/>
          <w:b/>
          <w:iCs/>
          <w:color w:val="000000" w:themeColor="text1"/>
          <w:szCs w:val="20"/>
          <w:lang w:val="sl-SI"/>
        </w:rPr>
        <w:t>Grafični prikaz odgovorov</w:t>
      </w:r>
    </w:p>
    <w:p w14:paraId="182AE469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 xml:space="preserve"> </w:t>
      </w:r>
      <w:r w:rsidRPr="00C2090F">
        <w:rPr>
          <w:noProof/>
          <w:lang w:val="sl-SI"/>
        </w:rPr>
        <w:drawing>
          <wp:inline distT="0" distB="0" distL="0" distR="0" wp14:anchorId="759E4E1E" wp14:editId="5527C6CA">
            <wp:extent cx="5579307" cy="2743200"/>
            <wp:effectExtent l="0" t="0" r="2540" b="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C3DE6226-7116-2BEB-5F5E-C3F01D3952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895C59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</w:p>
    <w:p w14:paraId="70A891C1" w14:textId="77777777" w:rsidR="00B93548" w:rsidRPr="00C2090F" w:rsidRDefault="00B93548" w:rsidP="00B93548">
      <w:pPr>
        <w:jc w:val="both"/>
        <w:rPr>
          <w:noProof/>
          <w:lang w:val="sl-SI"/>
        </w:rPr>
      </w:pPr>
    </w:p>
    <w:p w14:paraId="0DEC87A3" w14:textId="77777777" w:rsidR="00B93548" w:rsidRPr="00C2090F" w:rsidRDefault="00B93548" w:rsidP="00B93548">
      <w:pPr>
        <w:pStyle w:val="Odstavekseznama"/>
        <w:keepNext/>
        <w:keepLines/>
        <w:numPr>
          <w:ilvl w:val="1"/>
          <w:numId w:val="6"/>
        </w:numPr>
        <w:spacing w:before="40" w:after="0"/>
        <w:jc w:val="both"/>
        <w:outlineLvl w:val="3"/>
        <w:rPr>
          <w:rFonts w:ascii="Arial" w:eastAsiaTheme="majorEastAsia" w:hAnsi="Arial" w:cs="Arial"/>
          <w:b/>
          <w:iCs/>
          <w:color w:val="000000" w:themeColor="text1"/>
          <w:sz w:val="20"/>
          <w:szCs w:val="20"/>
        </w:rPr>
      </w:pPr>
      <w:bookmarkStart w:id="4" w:name="_Toc489269269"/>
      <w:r w:rsidRPr="00C2090F">
        <w:rPr>
          <w:rFonts w:ascii="Arial" w:eastAsiaTheme="majorEastAsia" w:hAnsi="Arial" w:cs="Arial"/>
          <w:b/>
          <w:iCs/>
          <w:color w:val="000000" w:themeColor="text1"/>
          <w:sz w:val="20"/>
          <w:szCs w:val="20"/>
        </w:rPr>
        <w:t>Kdo naj plačuje davke?</w:t>
      </w:r>
      <w:bookmarkEnd w:id="4"/>
    </w:p>
    <w:p w14:paraId="461C28B2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4151FC25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 xml:space="preserve">Anketiranci so pri tem vprašanju izbrali le enega izmed možnih odgovorov. </w:t>
      </w:r>
    </w:p>
    <w:p w14:paraId="0142FC39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tbl>
      <w:tblPr>
        <w:tblW w:w="77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920"/>
        <w:gridCol w:w="900"/>
      </w:tblGrid>
      <w:tr w:rsidR="00B93548" w:rsidRPr="00C2090F" w14:paraId="6D833B7F" w14:textId="77777777" w:rsidTr="006E69EF">
        <w:trPr>
          <w:trHeight w:val="290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2D5F3" w14:textId="77777777" w:rsidR="00B93548" w:rsidRPr="00C2090F" w:rsidRDefault="00B93548" w:rsidP="006E69EF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Kdo naj po tvojem mnenju plačuje davke</w:t>
            </w:r>
            <w:r w:rsidRPr="00C2090F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 </w:t>
            </w:r>
            <w:r w:rsidRPr="00C2090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(samo 1 odgovor)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68A72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DA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9FB1C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NE</w:t>
            </w:r>
          </w:p>
        </w:tc>
      </w:tr>
      <w:tr w:rsidR="00B93548" w:rsidRPr="00C2090F" w14:paraId="4511D4BA" w14:textId="77777777" w:rsidTr="006E69EF">
        <w:trPr>
          <w:trHeight w:val="29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E62E2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vsi za vse svoje prihodke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459BC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70 %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34EC5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59 %</w:t>
            </w:r>
          </w:p>
        </w:tc>
      </w:tr>
      <w:tr w:rsidR="00B93548" w:rsidRPr="00C2090F" w14:paraId="1765E8D9" w14:textId="77777777" w:rsidTr="006E69EF">
        <w:trPr>
          <w:trHeight w:val="29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AB265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samo tisti, ki so zaposleni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AA9D5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14 %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1FB63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20 %</w:t>
            </w:r>
          </w:p>
        </w:tc>
      </w:tr>
      <w:tr w:rsidR="00B93548" w:rsidRPr="00C2090F" w14:paraId="4014D253" w14:textId="77777777" w:rsidTr="006E69EF">
        <w:trPr>
          <w:trHeight w:val="29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2852E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samo tisti z najvišjimi prihodki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BFFF7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9 %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780CB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10 %</w:t>
            </w:r>
          </w:p>
        </w:tc>
      </w:tr>
      <w:tr w:rsidR="00B93548" w:rsidRPr="00C2090F" w14:paraId="415ADCC2" w14:textId="77777777" w:rsidTr="006E69EF">
        <w:trPr>
          <w:trHeight w:val="29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5872D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samo podjetniki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FBF10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2 %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18A13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3 %</w:t>
            </w:r>
          </w:p>
        </w:tc>
      </w:tr>
      <w:tr w:rsidR="00B93548" w:rsidRPr="00C2090F" w14:paraId="130E744D" w14:textId="77777777" w:rsidTr="006E69EF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3E0DB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nihče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61E5B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5 %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75902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9 %</w:t>
            </w:r>
          </w:p>
        </w:tc>
      </w:tr>
    </w:tbl>
    <w:p w14:paraId="2C9067E5" w14:textId="77777777" w:rsidR="00B93548" w:rsidRPr="00C2090F" w:rsidRDefault="00B93548" w:rsidP="00B93548">
      <w:pPr>
        <w:jc w:val="both"/>
        <w:rPr>
          <w:rFonts w:cs="Arial"/>
          <w:noProof/>
          <w:szCs w:val="20"/>
          <w:lang w:val="sl-SI" w:eastAsia="sl-SI"/>
        </w:rPr>
      </w:pPr>
    </w:p>
    <w:p w14:paraId="3AEE7F54" w14:textId="77777777" w:rsidR="00B93548" w:rsidRDefault="00B93548" w:rsidP="00B93548">
      <w:pPr>
        <w:jc w:val="both"/>
        <w:rPr>
          <w:rFonts w:cs="Arial"/>
          <w:noProof/>
          <w:szCs w:val="20"/>
          <w:lang w:val="sl-SI" w:eastAsia="sl-SI"/>
        </w:rPr>
      </w:pPr>
      <w:r w:rsidRPr="00C2090F">
        <w:rPr>
          <w:rFonts w:cs="Arial"/>
          <w:noProof/>
          <w:szCs w:val="20"/>
          <w:lang w:val="sl-SI" w:eastAsia="sl-SI"/>
        </w:rPr>
        <w:t xml:space="preserve">Pri mladih, ki so poslušali predavanja, je povečano zavedanje o pomenu plačevanja davkov na način, da naj jih plačujejo </w:t>
      </w:r>
      <w:r>
        <w:rPr>
          <w:rFonts w:cs="Arial"/>
          <w:noProof/>
          <w:szCs w:val="20"/>
          <w:lang w:val="sl-SI" w:eastAsia="sl-SI"/>
        </w:rPr>
        <w:t xml:space="preserve">davek </w:t>
      </w:r>
      <w:r w:rsidRPr="00C2090F">
        <w:rPr>
          <w:rFonts w:cs="Arial"/>
          <w:noProof/>
          <w:szCs w:val="20"/>
          <w:lang w:val="sl-SI" w:eastAsia="sl-SI"/>
        </w:rPr>
        <w:t xml:space="preserve">vsi za vse svoje dohodke. Pred predavanjem je tako menilo menilo 59 % </w:t>
      </w:r>
      <w:r w:rsidRPr="00C2090F">
        <w:rPr>
          <w:rFonts w:cs="Arial"/>
          <w:noProof/>
          <w:szCs w:val="20"/>
          <w:lang w:val="sl-SI" w:eastAsia="sl-SI"/>
        </w:rPr>
        <w:lastRenderedPageBreak/>
        <w:t xml:space="preserve">mladih, po predavanjih pa kar 70 %.  Prav tako se je po predavanjih </w:t>
      </w:r>
      <w:r>
        <w:rPr>
          <w:rFonts w:cs="Arial"/>
          <w:noProof/>
          <w:szCs w:val="20"/>
          <w:lang w:val="sl-SI" w:eastAsia="sl-SI"/>
        </w:rPr>
        <w:t xml:space="preserve">skoraj prepolovil </w:t>
      </w:r>
      <w:r w:rsidRPr="00C2090F">
        <w:rPr>
          <w:rFonts w:cs="Arial"/>
          <w:noProof/>
          <w:szCs w:val="20"/>
          <w:lang w:val="sl-SI" w:eastAsia="sl-SI"/>
        </w:rPr>
        <w:t>delež tistih, ki menijo, da davkov ne bi plačeval nihče</w:t>
      </w:r>
      <w:r>
        <w:rPr>
          <w:rFonts w:cs="Arial"/>
          <w:noProof/>
          <w:szCs w:val="20"/>
          <w:lang w:val="sl-SI" w:eastAsia="sl-SI"/>
        </w:rPr>
        <w:t xml:space="preserve"> in ostaja na podobnem deležu kot v preteklih letih (5%).</w:t>
      </w:r>
    </w:p>
    <w:p w14:paraId="6A9789C3" w14:textId="77777777" w:rsidR="00B93548" w:rsidRDefault="00B93548" w:rsidP="00B93548">
      <w:pPr>
        <w:jc w:val="both"/>
        <w:rPr>
          <w:rFonts w:cs="Arial"/>
          <w:noProof/>
          <w:szCs w:val="20"/>
          <w:lang w:val="sl-SI" w:eastAsia="sl-SI"/>
        </w:rPr>
      </w:pPr>
    </w:p>
    <w:p w14:paraId="528CEC49" w14:textId="77777777" w:rsidR="00B93548" w:rsidRPr="00C2090F" w:rsidRDefault="00B93548" w:rsidP="00B93548">
      <w:pPr>
        <w:jc w:val="both"/>
        <w:rPr>
          <w:rFonts w:cs="Arial"/>
          <w:noProof/>
          <w:szCs w:val="20"/>
          <w:lang w:val="sl-SI" w:eastAsia="sl-SI"/>
        </w:rPr>
      </w:pPr>
    </w:p>
    <w:p w14:paraId="03517C52" w14:textId="77777777" w:rsidR="00B93548" w:rsidRDefault="00B93548" w:rsidP="00B93548">
      <w:pPr>
        <w:jc w:val="both"/>
        <w:rPr>
          <w:rFonts w:cs="Arial"/>
          <w:b/>
          <w:szCs w:val="20"/>
          <w:lang w:val="sl-SI"/>
        </w:rPr>
      </w:pPr>
      <w:r w:rsidRPr="00C2090F">
        <w:rPr>
          <w:rFonts w:cs="Arial"/>
          <w:b/>
          <w:szCs w:val="20"/>
          <w:lang w:val="sl-SI"/>
        </w:rPr>
        <w:t>Grafični prikaz odgovorov</w:t>
      </w:r>
    </w:p>
    <w:p w14:paraId="681B1A6C" w14:textId="77777777" w:rsidR="00B93548" w:rsidRPr="00C2090F" w:rsidRDefault="00B93548" w:rsidP="00B93548">
      <w:pPr>
        <w:jc w:val="both"/>
        <w:rPr>
          <w:rFonts w:cs="Arial"/>
          <w:b/>
          <w:szCs w:val="20"/>
          <w:lang w:val="sl-SI"/>
        </w:rPr>
      </w:pPr>
    </w:p>
    <w:p w14:paraId="72D189C2" w14:textId="77777777" w:rsidR="00B93548" w:rsidRDefault="00B93548" w:rsidP="00B93548">
      <w:pPr>
        <w:jc w:val="both"/>
        <w:rPr>
          <w:rFonts w:cs="Arial"/>
          <w:b/>
          <w:szCs w:val="20"/>
          <w:lang w:val="sl-SI"/>
        </w:rPr>
      </w:pPr>
      <w:r w:rsidRPr="00C2090F">
        <w:rPr>
          <w:noProof/>
          <w:lang w:val="sl-SI"/>
        </w:rPr>
        <w:drawing>
          <wp:inline distT="0" distB="0" distL="0" distR="0" wp14:anchorId="720210D1" wp14:editId="544C0F2C">
            <wp:extent cx="5501640" cy="2346960"/>
            <wp:effectExtent l="0" t="0" r="3810" b="15240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40A4D55A-82C3-B514-855E-E7CD7A019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9ED73A" w14:textId="77777777" w:rsidR="00B93548" w:rsidRPr="00C2090F" w:rsidRDefault="00B93548" w:rsidP="00B93548">
      <w:pPr>
        <w:jc w:val="both"/>
        <w:rPr>
          <w:rFonts w:cs="Arial"/>
          <w:b/>
          <w:szCs w:val="20"/>
          <w:lang w:val="sl-SI"/>
        </w:rPr>
      </w:pPr>
    </w:p>
    <w:p w14:paraId="47B3C0BC" w14:textId="77777777" w:rsidR="00B93548" w:rsidRPr="00C2090F" w:rsidRDefault="00B93548" w:rsidP="00B93548">
      <w:pPr>
        <w:pStyle w:val="Odstavekseznama"/>
        <w:keepNext/>
        <w:keepLines/>
        <w:numPr>
          <w:ilvl w:val="1"/>
          <w:numId w:val="6"/>
        </w:numPr>
        <w:spacing w:before="40" w:after="0"/>
        <w:jc w:val="both"/>
        <w:outlineLvl w:val="3"/>
        <w:rPr>
          <w:rFonts w:ascii="Arial" w:eastAsiaTheme="majorEastAsia" w:hAnsi="Arial" w:cs="Arial"/>
          <w:b/>
          <w:iCs/>
          <w:color w:val="000000" w:themeColor="text1"/>
          <w:sz w:val="20"/>
          <w:szCs w:val="20"/>
        </w:rPr>
      </w:pPr>
      <w:bookmarkStart w:id="5" w:name="_Toc489269270"/>
      <w:r w:rsidRPr="00C2090F">
        <w:rPr>
          <w:rFonts w:ascii="Arial" w:eastAsiaTheme="majorEastAsia" w:hAnsi="Arial" w:cs="Arial"/>
          <w:b/>
          <w:iCs/>
          <w:color w:val="000000" w:themeColor="text1"/>
          <w:sz w:val="20"/>
          <w:szCs w:val="20"/>
        </w:rPr>
        <w:t>Neplačevanje davkov</w:t>
      </w:r>
      <w:bookmarkEnd w:id="5"/>
    </w:p>
    <w:p w14:paraId="55F5BF17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4FB0CA8B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 xml:space="preserve">Odgovori na to vprašanje kažejo </w:t>
      </w:r>
      <w:r>
        <w:rPr>
          <w:rFonts w:cs="Arial"/>
          <w:szCs w:val="20"/>
          <w:lang w:val="sl-SI"/>
        </w:rPr>
        <w:t xml:space="preserve">na </w:t>
      </w:r>
      <w:r w:rsidRPr="00C2090F">
        <w:rPr>
          <w:rFonts w:cs="Arial"/>
          <w:szCs w:val="20"/>
          <w:lang w:val="sl-SI"/>
        </w:rPr>
        <w:t>izboljšanje odnosa do plačevanja davkov</w:t>
      </w:r>
      <w:r w:rsidRPr="0058057A">
        <w:rPr>
          <w:rFonts w:cs="Arial"/>
          <w:szCs w:val="20"/>
          <w:lang w:val="sl-SI"/>
        </w:rPr>
        <w:t xml:space="preserve"> </w:t>
      </w:r>
      <w:r w:rsidRPr="00C2090F">
        <w:rPr>
          <w:rFonts w:cs="Arial"/>
          <w:szCs w:val="20"/>
          <w:lang w:val="sl-SI"/>
        </w:rPr>
        <w:t>po izvedenih predavanjih</w:t>
      </w:r>
      <w:r>
        <w:rPr>
          <w:rFonts w:cs="Arial"/>
          <w:szCs w:val="20"/>
          <w:lang w:val="sl-SI"/>
        </w:rPr>
        <w:t>.</w:t>
      </w:r>
      <w:r w:rsidRPr="00C2090F">
        <w:rPr>
          <w:rFonts w:cs="Arial"/>
          <w:szCs w:val="20"/>
          <w:lang w:val="sl-SI"/>
        </w:rPr>
        <w:t xml:space="preserve"> Za 13 odstotkov se je povečal delež mladih, ki v neplačevanju davkov vidijo kaznivo dejanje in posledično jih tudi manj ocenjuje, da je to samo moralno sporno ali da je to le nepomembe</w:t>
      </w:r>
      <w:r>
        <w:rPr>
          <w:rFonts w:cs="Arial"/>
          <w:szCs w:val="20"/>
          <w:lang w:val="sl-SI"/>
        </w:rPr>
        <w:t>n</w:t>
      </w:r>
      <w:r w:rsidRPr="00C2090F">
        <w:rPr>
          <w:rFonts w:cs="Arial"/>
          <w:szCs w:val="20"/>
          <w:lang w:val="sl-SI"/>
        </w:rPr>
        <w:t xml:space="preserve"> prekršek. </w:t>
      </w:r>
      <w:r>
        <w:rPr>
          <w:rFonts w:cs="Arial"/>
          <w:szCs w:val="20"/>
          <w:lang w:val="sl-SI"/>
        </w:rPr>
        <w:t>Precej se je po predavanjih zmanjšal tudi delež mladih, ki menijo, da z neplačevanjem davkov ni nič narobe.</w:t>
      </w:r>
    </w:p>
    <w:p w14:paraId="4C5713A2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</w:p>
    <w:tbl>
      <w:tblPr>
        <w:tblW w:w="77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920"/>
        <w:gridCol w:w="900"/>
      </w:tblGrid>
      <w:tr w:rsidR="00B93548" w:rsidRPr="00C2090F" w14:paraId="64604325" w14:textId="77777777" w:rsidTr="006E69EF">
        <w:trPr>
          <w:trHeight w:val="470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8FF39" w14:textId="77777777" w:rsidR="00B93548" w:rsidRPr="00C2090F" w:rsidRDefault="00B93548" w:rsidP="006E69EF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Kakšno je tvoje mnenje glede neplačevanja davkov                </w:t>
            </w:r>
            <w:r w:rsidRPr="00C2090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(samo 1 odgovor)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1196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DA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38633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NE</w:t>
            </w:r>
          </w:p>
        </w:tc>
      </w:tr>
      <w:tr w:rsidR="00B93548" w:rsidRPr="00C2090F" w14:paraId="2E72199E" w14:textId="77777777" w:rsidTr="006E69EF">
        <w:trPr>
          <w:trHeight w:val="29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CBC81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Je kaznivo dejanje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88772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71 %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C714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58 %</w:t>
            </w:r>
          </w:p>
        </w:tc>
      </w:tr>
      <w:tr w:rsidR="00B93548" w:rsidRPr="00C2090F" w14:paraId="70F4DE14" w14:textId="77777777" w:rsidTr="006E69EF">
        <w:trPr>
          <w:trHeight w:val="29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D8395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Je samo moralno sporno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EC61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14 %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22BBE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19 %</w:t>
            </w:r>
          </w:p>
        </w:tc>
      </w:tr>
      <w:tr w:rsidR="00B93548" w:rsidRPr="00C2090F" w14:paraId="4E6F495C" w14:textId="77777777" w:rsidTr="006E69EF">
        <w:trPr>
          <w:trHeight w:val="29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9F18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Je nepomemben prekršek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C6968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6 %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A734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9 %</w:t>
            </w:r>
          </w:p>
        </w:tc>
      </w:tr>
      <w:tr w:rsidR="00B93548" w:rsidRPr="00C2090F" w14:paraId="1BC12101" w14:textId="77777777" w:rsidTr="006E69EF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359A" w14:textId="77777777" w:rsidR="00B93548" w:rsidRPr="00C2090F" w:rsidRDefault="00B93548" w:rsidP="006E69EF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 xml:space="preserve">S tem ni nič narobe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B0CFE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9 %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E4105" w14:textId="77777777" w:rsidR="00B93548" w:rsidRPr="00C2090F" w:rsidRDefault="00B93548" w:rsidP="006E69E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14 %</w:t>
            </w:r>
          </w:p>
        </w:tc>
      </w:tr>
    </w:tbl>
    <w:p w14:paraId="5B1BE214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57BCF461" w14:textId="77777777" w:rsidR="00B93548" w:rsidRDefault="00B93548" w:rsidP="00B93548">
      <w:pPr>
        <w:jc w:val="both"/>
        <w:rPr>
          <w:rFonts w:cs="Arial"/>
          <w:b/>
          <w:szCs w:val="20"/>
          <w:lang w:val="sl-SI"/>
        </w:rPr>
      </w:pPr>
      <w:r w:rsidRPr="00C2090F">
        <w:rPr>
          <w:rFonts w:cs="Arial"/>
          <w:b/>
          <w:szCs w:val="20"/>
          <w:lang w:val="sl-SI"/>
        </w:rPr>
        <w:t>Grafični prikaz odgovorov</w:t>
      </w:r>
    </w:p>
    <w:p w14:paraId="06F80249" w14:textId="77777777" w:rsidR="00B93548" w:rsidRPr="00C2090F" w:rsidRDefault="00B93548" w:rsidP="00B93548">
      <w:pPr>
        <w:jc w:val="both"/>
        <w:rPr>
          <w:rFonts w:cs="Arial"/>
          <w:b/>
          <w:szCs w:val="20"/>
          <w:lang w:val="sl-SI"/>
        </w:rPr>
      </w:pPr>
    </w:p>
    <w:p w14:paraId="737C6436" w14:textId="77777777" w:rsidR="00B93548" w:rsidRDefault="00B93548" w:rsidP="00B93548">
      <w:pPr>
        <w:jc w:val="both"/>
        <w:rPr>
          <w:rFonts w:cs="Arial"/>
          <w:b/>
          <w:szCs w:val="20"/>
          <w:lang w:val="sl-SI"/>
        </w:rPr>
      </w:pPr>
      <w:r w:rsidRPr="00C2090F">
        <w:rPr>
          <w:noProof/>
          <w:lang w:val="sl-SI"/>
        </w:rPr>
        <w:drawing>
          <wp:inline distT="0" distB="0" distL="0" distR="0" wp14:anchorId="04EEDE89" wp14:editId="5ADBCF30">
            <wp:extent cx="4964430" cy="2377440"/>
            <wp:effectExtent l="0" t="0" r="7620" b="381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79D4B5A9-6904-43E0-96D6-D153557AFE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1D6694" w14:textId="77777777" w:rsidR="00B93548" w:rsidRPr="00C2090F" w:rsidRDefault="00B93548" w:rsidP="00B93548">
      <w:pPr>
        <w:pStyle w:val="Odstavekseznama"/>
        <w:keepNext/>
        <w:keepLines/>
        <w:numPr>
          <w:ilvl w:val="1"/>
          <w:numId w:val="6"/>
        </w:numPr>
        <w:spacing w:before="40" w:after="0"/>
        <w:jc w:val="both"/>
        <w:outlineLvl w:val="3"/>
        <w:rPr>
          <w:rFonts w:ascii="Arial" w:eastAsiaTheme="majorEastAsia" w:hAnsi="Arial" w:cs="Arial"/>
          <w:b/>
          <w:iCs/>
          <w:color w:val="000000" w:themeColor="text1"/>
          <w:sz w:val="20"/>
          <w:szCs w:val="20"/>
        </w:rPr>
      </w:pPr>
      <w:bookmarkStart w:id="6" w:name="_Toc489269271"/>
      <w:r w:rsidRPr="00C2090F">
        <w:rPr>
          <w:rFonts w:ascii="Arial" w:eastAsiaTheme="majorEastAsia" w:hAnsi="Arial" w:cs="Arial"/>
          <w:b/>
          <w:iCs/>
          <w:color w:val="000000" w:themeColor="text1"/>
          <w:sz w:val="20"/>
          <w:szCs w:val="20"/>
        </w:rPr>
        <w:lastRenderedPageBreak/>
        <w:t>Delovanje države brez plačevanja davkov</w:t>
      </w:r>
      <w:bookmarkEnd w:id="6"/>
    </w:p>
    <w:p w14:paraId="30F4F217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tbl>
      <w:tblPr>
        <w:tblW w:w="6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418"/>
        <w:gridCol w:w="1276"/>
      </w:tblGrid>
      <w:tr w:rsidR="00B93548" w:rsidRPr="00C2090F" w14:paraId="772D8A55" w14:textId="77777777" w:rsidTr="006E69EF">
        <w:trPr>
          <w:trHeight w:val="87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82A48" w14:textId="77777777" w:rsidR="00B93548" w:rsidRPr="00C2090F" w:rsidRDefault="00B93548" w:rsidP="006E69EF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szCs w:val="20"/>
                <w:lang w:val="sl-SI"/>
              </w:rPr>
              <w:t xml:space="preserve"> </w:t>
            </w: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Ali bi po tvojem mnenju lahko država delovala brez plačila davkov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AE266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C3F84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NE</w:t>
            </w:r>
          </w:p>
        </w:tc>
      </w:tr>
      <w:tr w:rsidR="00B93548" w:rsidRPr="00C2090F" w14:paraId="2E49A6E3" w14:textId="77777777" w:rsidTr="006E69EF">
        <w:trPr>
          <w:trHeight w:val="29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E7D9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6B4B2B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18 %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2F9A92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27 %</w:t>
            </w:r>
          </w:p>
        </w:tc>
      </w:tr>
      <w:tr w:rsidR="00B93548" w:rsidRPr="00C2090F" w14:paraId="2165ABDF" w14:textId="77777777" w:rsidTr="006E69EF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40FC1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2D4F47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82 %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4753C6" w14:textId="77777777" w:rsidR="00B93548" w:rsidRPr="00C2090F" w:rsidRDefault="00B93548" w:rsidP="006E69EF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C2090F">
              <w:rPr>
                <w:rFonts w:cs="Arial"/>
                <w:color w:val="000000"/>
                <w:szCs w:val="20"/>
                <w:lang w:val="sl-SI" w:eastAsia="sl-SI"/>
              </w:rPr>
              <w:t>73 %</w:t>
            </w:r>
          </w:p>
        </w:tc>
      </w:tr>
    </w:tbl>
    <w:p w14:paraId="547F54CA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33E4ADDD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66EEC103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>Pri tem vprašanju se je delež mladih, ki menijo, da bi država lahko delovala brez davkov, po poslušanju predavanj znižal iz 27 na 18%, kar pa je še vedno precej visoka številka. V pretekl</w:t>
      </w:r>
      <w:r>
        <w:rPr>
          <w:rFonts w:cs="Arial"/>
          <w:szCs w:val="20"/>
          <w:lang w:val="sl-SI"/>
        </w:rPr>
        <w:t xml:space="preserve">ih </w:t>
      </w:r>
      <w:r w:rsidRPr="00C2090F">
        <w:rPr>
          <w:rFonts w:cs="Arial"/>
          <w:szCs w:val="20"/>
          <w:lang w:val="sl-SI"/>
        </w:rPr>
        <w:t>let</w:t>
      </w:r>
      <w:r>
        <w:rPr>
          <w:rFonts w:cs="Arial"/>
          <w:szCs w:val="20"/>
          <w:lang w:val="sl-SI"/>
        </w:rPr>
        <w:t>ih</w:t>
      </w:r>
      <w:r w:rsidRPr="00C2090F">
        <w:rPr>
          <w:rFonts w:cs="Arial"/>
          <w:szCs w:val="20"/>
          <w:lang w:val="sl-SI"/>
        </w:rPr>
        <w:t xml:space="preserve"> je bil ta delež nižji</w:t>
      </w:r>
      <w:r>
        <w:rPr>
          <w:rFonts w:cs="Arial"/>
          <w:szCs w:val="20"/>
          <w:lang w:val="sl-SI"/>
        </w:rPr>
        <w:t xml:space="preserve">. </w:t>
      </w:r>
    </w:p>
    <w:p w14:paraId="706F8619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01787083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0480F5C9" w14:textId="77777777" w:rsidR="00B93548" w:rsidRPr="00C2090F" w:rsidRDefault="00B93548" w:rsidP="00B93548">
      <w:pPr>
        <w:jc w:val="both"/>
        <w:rPr>
          <w:rFonts w:cs="Arial"/>
          <w:b/>
          <w:szCs w:val="20"/>
          <w:lang w:val="sl-SI"/>
        </w:rPr>
      </w:pPr>
      <w:r w:rsidRPr="00C2090F">
        <w:rPr>
          <w:rFonts w:cs="Arial"/>
          <w:b/>
          <w:szCs w:val="20"/>
          <w:lang w:val="sl-SI"/>
        </w:rPr>
        <w:t>Grafični prikaz odgovorov</w:t>
      </w:r>
    </w:p>
    <w:p w14:paraId="6261C93B" w14:textId="77777777" w:rsidR="00B93548" w:rsidRPr="00C2090F" w:rsidRDefault="00B93548" w:rsidP="00B93548">
      <w:pPr>
        <w:jc w:val="both"/>
        <w:rPr>
          <w:rFonts w:cs="Arial"/>
          <w:b/>
          <w:szCs w:val="20"/>
          <w:lang w:val="sl-SI"/>
        </w:rPr>
      </w:pPr>
    </w:p>
    <w:p w14:paraId="5C71BE06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noProof/>
          <w:lang w:val="sl-SI"/>
        </w:rPr>
        <w:drawing>
          <wp:inline distT="0" distB="0" distL="0" distR="0" wp14:anchorId="3DA83EBA" wp14:editId="7A7B3AB0">
            <wp:extent cx="5143500" cy="2743200"/>
            <wp:effectExtent l="0" t="0" r="0" b="0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2FA1F254-7239-0B51-6481-353CC32DE8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93C1C0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497CA6DC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4E1A2408" w14:textId="77777777" w:rsidR="00B93548" w:rsidRPr="00C2090F" w:rsidRDefault="00B93548" w:rsidP="00B93548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C2090F">
        <w:rPr>
          <w:rFonts w:ascii="Arial" w:hAnsi="Arial" w:cs="Arial"/>
          <w:b/>
          <w:sz w:val="20"/>
          <w:szCs w:val="20"/>
        </w:rPr>
        <w:t>Davčno opismenjevanje v prvi triadi osnovne šole</w:t>
      </w:r>
    </w:p>
    <w:p w14:paraId="5BE52624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 xml:space="preserve">Tudi v šolskem letu 2023/2024 smo izvajali modul za otroke v prvi triadi osnovne šole, saj so bile spet omogočene delavnice v živo v razredih. </w:t>
      </w:r>
      <w:r>
        <w:rPr>
          <w:rFonts w:cs="Arial"/>
          <w:szCs w:val="20"/>
          <w:lang w:val="sl-SI"/>
        </w:rPr>
        <w:t>V te delavnice, ki trajajo 1 šolsko uro in potekajo na igriv način, je bilo vključenih 535 otrok.</w:t>
      </w:r>
    </w:p>
    <w:p w14:paraId="00F507C0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</w:p>
    <w:p w14:paraId="53370DF7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021FA5EF" w14:textId="77777777" w:rsidR="00B93548" w:rsidRPr="00C2090F" w:rsidRDefault="00B93548" w:rsidP="00B93548">
      <w:pPr>
        <w:pStyle w:val="Odstavekseznama"/>
        <w:keepNext/>
        <w:keepLines/>
        <w:numPr>
          <w:ilvl w:val="0"/>
          <w:numId w:val="6"/>
        </w:numPr>
        <w:spacing w:before="40" w:after="0"/>
        <w:jc w:val="both"/>
        <w:outlineLvl w:val="2"/>
        <w:rPr>
          <w:rFonts w:ascii="Arial" w:eastAsiaTheme="majorEastAsia" w:hAnsi="Arial" w:cs="Arial"/>
          <w:b/>
          <w:sz w:val="20"/>
          <w:szCs w:val="20"/>
        </w:rPr>
      </w:pPr>
      <w:r w:rsidRPr="00C2090F">
        <w:rPr>
          <w:rFonts w:ascii="Arial" w:eastAsiaTheme="majorEastAsia" w:hAnsi="Arial" w:cs="Arial"/>
          <w:b/>
          <w:sz w:val="20"/>
          <w:szCs w:val="20"/>
        </w:rPr>
        <w:t>Zaključek</w:t>
      </w:r>
    </w:p>
    <w:p w14:paraId="132D81AB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53D4274F" w14:textId="77777777" w:rsidR="00B93548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 xml:space="preserve">Razmere za izvajanje projekta so bile v šolskem letu 2023/2024 </w:t>
      </w:r>
      <w:r>
        <w:rPr>
          <w:rFonts w:cs="Arial"/>
          <w:szCs w:val="20"/>
          <w:lang w:val="sl-SI"/>
        </w:rPr>
        <w:t>primerne</w:t>
      </w:r>
      <w:r w:rsidRPr="00C2090F">
        <w:rPr>
          <w:rFonts w:cs="Arial"/>
          <w:szCs w:val="20"/>
          <w:lang w:val="sl-SI"/>
        </w:rPr>
        <w:t>, saj so bile vse delavnice izvedene v živo, v razredih</w:t>
      </w:r>
      <w:r>
        <w:rPr>
          <w:rFonts w:cs="Arial"/>
          <w:szCs w:val="20"/>
          <w:lang w:val="sl-SI"/>
        </w:rPr>
        <w:t>, kar je tako za predavatelje kot slušatelje veliko bolj ugodno.</w:t>
      </w:r>
    </w:p>
    <w:p w14:paraId="0CF4D64C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</w:p>
    <w:p w14:paraId="27CDD7DC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 xml:space="preserve">Vsi programi bodo do naslednjega šolskega leta dopolnjeni oz. spremenjeni v delih, kjer je prišlo do vsebinskih sprememb (npr. spremembe </w:t>
      </w:r>
      <w:r>
        <w:rPr>
          <w:rFonts w:cs="Arial"/>
          <w:szCs w:val="20"/>
          <w:lang w:val="sl-SI"/>
        </w:rPr>
        <w:t xml:space="preserve">pri načinu obdavčitve, </w:t>
      </w:r>
      <w:r w:rsidRPr="00C2090F">
        <w:rPr>
          <w:rFonts w:cs="Arial"/>
          <w:szCs w:val="20"/>
          <w:lang w:val="sl-SI"/>
        </w:rPr>
        <w:t>davčnih stopnj</w:t>
      </w:r>
      <w:r>
        <w:rPr>
          <w:rFonts w:cs="Arial"/>
          <w:szCs w:val="20"/>
          <w:lang w:val="sl-SI"/>
        </w:rPr>
        <w:t>ah</w:t>
      </w:r>
      <w:r w:rsidRPr="00C2090F">
        <w:rPr>
          <w:rFonts w:cs="Arial"/>
          <w:szCs w:val="20"/>
          <w:lang w:val="sl-SI"/>
        </w:rPr>
        <w:t>, davčnih olajšav</w:t>
      </w:r>
      <w:r>
        <w:rPr>
          <w:rFonts w:cs="Arial"/>
          <w:szCs w:val="20"/>
          <w:lang w:val="sl-SI"/>
        </w:rPr>
        <w:t>ah</w:t>
      </w:r>
      <w:r w:rsidRPr="00C2090F">
        <w:rPr>
          <w:rFonts w:cs="Arial"/>
          <w:szCs w:val="20"/>
          <w:lang w:val="sl-SI"/>
        </w:rPr>
        <w:t>…), sicer pa novosti v programu za naslednje šolsko leto ne načrtujemo. Ostajajo torej vsebine:</w:t>
      </w:r>
    </w:p>
    <w:p w14:paraId="1EDED9E2" w14:textId="77777777" w:rsidR="00B93548" w:rsidRPr="00C2090F" w:rsidRDefault="00B93548" w:rsidP="00B93548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2090F">
        <w:rPr>
          <w:rFonts w:ascii="Arial" w:hAnsi="Arial" w:cs="Arial"/>
          <w:sz w:val="20"/>
          <w:szCs w:val="20"/>
        </w:rPr>
        <w:t>Modul za prvo triado osnovne šole v trajanju 45 minut</w:t>
      </w:r>
    </w:p>
    <w:p w14:paraId="6659671A" w14:textId="77777777" w:rsidR="00B93548" w:rsidRPr="00C2090F" w:rsidRDefault="00B93548" w:rsidP="00B93548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2090F">
        <w:rPr>
          <w:rFonts w:ascii="Arial" w:hAnsi="Arial" w:cs="Arial"/>
          <w:sz w:val="20"/>
          <w:szCs w:val="20"/>
        </w:rPr>
        <w:t>Modul za tretjo triado osnovne šole v trajanju 90 minut</w:t>
      </w:r>
    </w:p>
    <w:p w14:paraId="0ED52C89" w14:textId="77777777" w:rsidR="00B93548" w:rsidRPr="00C2090F" w:rsidRDefault="00B93548" w:rsidP="00B93548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Splošni m</w:t>
      </w:r>
      <w:r w:rsidRPr="00C2090F">
        <w:rPr>
          <w:rFonts w:ascii="Arial" w:hAnsi="Arial" w:cs="Arial"/>
          <w:sz w:val="20"/>
          <w:szCs w:val="20"/>
        </w:rPr>
        <w:t>odul za srednje šole v trajanju 90 minut</w:t>
      </w:r>
    </w:p>
    <w:p w14:paraId="231A4050" w14:textId="77777777" w:rsidR="00B93548" w:rsidRPr="00C2090F" w:rsidRDefault="00B93548" w:rsidP="00B93548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Zahtevnejši m</w:t>
      </w:r>
      <w:r w:rsidRPr="00C2090F">
        <w:rPr>
          <w:rFonts w:ascii="Arial" w:hAnsi="Arial" w:cs="Arial"/>
          <w:sz w:val="20"/>
          <w:szCs w:val="20"/>
        </w:rPr>
        <w:t xml:space="preserve">odul za </w:t>
      </w:r>
      <w:r>
        <w:rPr>
          <w:rFonts w:ascii="Arial" w:hAnsi="Arial" w:cs="Arial"/>
          <w:sz w:val="20"/>
          <w:szCs w:val="20"/>
        </w:rPr>
        <w:t>dijake in študente</w:t>
      </w:r>
      <w:r w:rsidRPr="00C2090F">
        <w:rPr>
          <w:rFonts w:ascii="Arial" w:hAnsi="Arial" w:cs="Arial"/>
          <w:sz w:val="20"/>
          <w:szCs w:val="20"/>
        </w:rPr>
        <w:t xml:space="preserve"> v trajanju od 90 do 135 minut (</w:t>
      </w:r>
      <w:r>
        <w:rPr>
          <w:rFonts w:ascii="Arial" w:hAnsi="Arial" w:cs="Arial"/>
          <w:sz w:val="20"/>
          <w:szCs w:val="20"/>
        </w:rPr>
        <w:t>šola</w:t>
      </w:r>
      <w:r w:rsidRPr="00C209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sama</w:t>
      </w:r>
      <w:r w:rsidRPr="00C2090F">
        <w:rPr>
          <w:rFonts w:ascii="Arial" w:hAnsi="Arial" w:cs="Arial"/>
          <w:sz w:val="20"/>
          <w:szCs w:val="20"/>
        </w:rPr>
        <w:t xml:space="preserve"> izbere</w:t>
      </w:r>
      <w:r>
        <w:rPr>
          <w:rFonts w:ascii="Arial" w:hAnsi="Arial" w:cs="Arial"/>
          <w:sz w:val="20"/>
          <w:szCs w:val="20"/>
        </w:rPr>
        <w:t xml:space="preserve"> trajanje</w:t>
      </w:r>
      <w:r w:rsidRPr="00C2090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41220DE9" w14:textId="77777777" w:rsidR="00B93548" w:rsidRPr="00C2090F" w:rsidRDefault="00B93548" w:rsidP="00B93548">
      <w:pPr>
        <w:jc w:val="both"/>
        <w:rPr>
          <w:rFonts w:cs="Arial"/>
          <w:szCs w:val="20"/>
          <w:lang w:val="sl-SI"/>
        </w:rPr>
      </w:pPr>
      <w:r w:rsidRPr="00C2090F">
        <w:rPr>
          <w:rFonts w:cs="Arial"/>
          <w:szCs w:val="20"/>
          <w:lang w:val="sl-SI"/>
        </w:rPr>
        <w:t>Iz analize evalvacij in opravljene primerjave ter interpretacije rezultatov izhaja, da imajo predavanja zelo pozitiven učinek na mladostnike</w:t>
      </w:r>
      <w:r>
        <w:rPr>
          <w:rFonts w:cs="Arial"/>
          <w:szCs w:val="20"/>
          <w:lang w:val="sl-SI"/>
        </w:rPr>
        <w:t>, bi si pa v posameznih segmentih želeli rezultate še izboljšati.</w:t>
      </w:r>
      <w:r w:rsidRPr="00C2090F">
        <w:rPr>
          <w:rFonts w:cs="Arial"/>
          <w:szCs w:val="20"/>
          <w:lang w:val="sl-SI"/>
        </w:rPr>
        <w:t>. Delež sprememb v dojemanju pomena davkov za družbo kot celoto med mladimi, ki so poslušali predavanja in tistimi, ki ga niso, ostaja relativno stabilen, predavateljem tako s predstavitvijo tematike davkov uspe vplivati na odločitve pri izbiri odgovorov. Pri vseh zastavljenih vprašanjih se je v skupini, ki je poslušala predavanja, pozitivni odnos do pomena davkov za družbo povečal. Ocenjujemo, da imajo predavanja pozitiven vpliv na mlade, zmanjšujejo davčno nepismenost in mlade podučijo o pomembnosti plačevanja davkov ter o posledicah neplačevanja in izogibanja plačevanju davkov za celotno družbo. S tem predavanja prispevajo k dvigu davčne kulture osnovnošolcev, srednješolcev in študentov.</w:t>
      </w:r>
    </w:p>
    <w:p w14:paraId="527C7D1C" w14:textId="77777777" w:rsidR="00B93548" w:rsidRPr="00C2090F" w:rsidRDefault="00B93548" w:rsidP="00B93548">
      <w:pPr>
        <w:rPr>
          <w:lang w:val="sl-SI"/>
        </w:rPr>
      </w:pPr>
    </w:p>
    <w:p w14:paraId="0CD8705E" w14:textId="77777777" w:rsidR="00B93548" w:rsidRPr="00C2090F" w:rsidRDefault="00B93548" w:rsidP="00B93548">
      <w:pPr>
        <w:rPr>
          <w:lang w:val="sl-SI"/>
        </w:rPr>
      </w:pPr>
    </w:p>
    <w:p w14:paraId="665B8DC7" w14:textId="77777777" w:rsidR="00B93548" w:rsidRPr="00C2090F" w:rsidRDefault="00B93548" w:rsidP="00B93548">
      <w:pPr>
        <w:rPr>
          <w:lang w:val="sl-SI"/>
        </w:rPr>
      </w:pPr>
    </w:p>
    <w:p w14:paraId="615AFE02" w14:textId="77777777" w:rsidR="00B93548" w:rsidRPr="00C2090F" w:rsidRDefault="00B93548" w:rsidP="00B93548">
      <w:pPr>
        <w:pStyle w:val="podpisi"/>
        <w:rPr>
          <w:lang w:val="sl-SI"/>
        </w:rPr>
      </w:pPr>
      <w:r w:rsidRPr="00C2090F">
        <w:rPr>
          <w:lang w:val="sl-SI"/>
        </w:rPr>
        <w:t>Pripravili:</w:t>
      </w:r>
    </w:p>
    <w:p w14:paraId="7ACF7015" w14:textId="77777777" w:rsidR="00B93548" w:rsidRPr="00C2090F" w:rsidRDefault="00B93548" w:rsidP="00B93548">
      <w:pPr>
        <w:pStyle w:val="podpisi"/>
        <w:spacing w:line="240" w:lineRule="auto"/>
        <w:rPr>
          <w:lang w:val="sl-SI"/>
        </w:rPr>
      </w:pPr>
      <w:r w:rsidRPr="00C2090F">
        <w:rPr>
          <w:lang w:val="sl-SI"/>
        </w:rPr>
        <w:t>Branka Nagode in</w:t>
      </w:r>
    </w:p>
    <w:p w14:paraId="030BE246" w14:textId="77777777" w:rsidR="00B93548" w:rsidRPr="00C2090F" w:rsidRDefault="00B93548" w:rsidP="00B93548">
      <w:pPr>
        <w:pStyle w:val="podpisi"/>
        <w:spacing w:line="240" w:lineRule="auto"/>
        <w:rPr>
          <w:lang w:val="sl-SI"/>
        </w:rPr>
      </w:pPr>
      <w:r w:rsidRPr="00C2090F">
        <w:rPr>
          <w:lang w:val="sl-SI"/>
        </w:rPr>
        <w:t>mag. Branka Hercog,</w:t>
      </w:r>
    </w:p>
    <w:p w14:paraId="79F448A8" w14:textId="77777777" w:rsidR="00B93548" w:rsidRPr="00C2090F" w:rsidRDefault="00B93548" w:rsidP="00B93548">
      <w:pPr>
        <w:pStyle w:val="podpisi"/>
        <w:spacing w:line="240" w:lineRule="auto"/>
        <w:rPr>
          <w:lang w:val="sl-SI"/>
        </w:rPr>
      </w:pPr>
      <w:r w:rsidRPr="00C2090F">
        <w:rPr>
          <w:lang w:val="sl-SI"/>
        </w:rPr>
        <w:t>vodja projekta</w:t>
      </w:r>
    </w:p>
    <w:p w14:paraId="2B943BD6" w14:textId="77777777" w:rsidR="00B93548" w:rsidRPr="00C2090F" w:rsidRDefault="00B93548" w:rsidP="00B93548">
      <w:pPr>
        <w:pStyle w:val="podpisi"/>
        <w:spacing w:line="240" w:lineRule="auto"/>
        <w:rPr>
          <w:lang w:val="sl-SI"/>
        </w:rPr>
      </w:pPr>
    </w:p>
    <w:p w14:paraId="70C85363" w14:textId="77777777" w:rsidR="00B93548" w:rsidRPr="00C2090F" w:rsidRDefault="00B93548" w:rsidP="00B93548">
      <w:pPr>
        <w:pStyle w:val="podpisi"/>
        <w:jc w:val="right"/>
        <w:rPr>
          <w:lang w:val="sl-SI"/>
        </w:rPr>
      </w:pPr>
    </w:p>
    <w:p w14:paraId="5033E437" w14:textId="77777777" w:rsidR="00B93548" w:rsidRPr="00C2090F" w:rsidRDefault="00B93548" w:rsidP="00B93548">
      <w:pPr>
        <w:pStyle w:val="podpisi"/>
        <w:rPr>
          <w:lang w:val="sl-SI"/>
        </w:rPr>
      </w:pPr>
      <w:r>
        <w:rPr>
          <w:lang w:val="sl-SI"/>
        </w:rPr>
        <w:t xml:space="preserve">Ljubljana, 16. 7. 2024 </w:t>
      </w:r>
    </w:p>
    <w:p w14:paraId="71C6F781" w14:textId="77777777" w:rsidR="00B93548" w:rsidRPr="00C2090F" w:rsidRDefault="00B93548" w:rsidP="00B93548">
      <w:pPr>
        <w:pStyle w:val="podpisi"/>
        <w:tabs>
          <w:tab w:val="clear" w:pos="3402"/>
          <w:tab w:val="center" w:pos="6237"/>
        </w:tabs>
        <w:rPr>
          <w:lang w:val="sl-SI"/>
        </w:rPr>
      </w:pPr>
      <w:r w:rsidRPr="00C2090F">
        <w:rPr>
          <w:lang w:val="sl-SI"/>
        </w:rPr>
        <w:tab/>
      </w:r>
    </w:p>
    <w:p w14:paraId="791214C8" w14:textId="77777777" w:rsidR="00B93548" w:rsidRPr="00C2090F" w:rsidRDefault="00B93548" w:rsidP="00B93548">
      <w:pPr>
        <w:pStyle w:val="podpisi"/>
        <w:rPr>
          <w:lang w:val="sl-SI"/>
        </w:rPr>
      </w:pPr>
    </w:p>
    <w:p w14:paraId="45B445DA" w14:textId="77777777" w:rsidR="00B93548" w:rsidRPr="00BC2517" w:rsidRDefault="00B93548" w:rsidP="00B93548">
      <w:pPr>
        <w:pStyle w:val="datumtevilka"/>
      </w:pPr>
    </w:p>
    <w:p w14:paraId="0208DCD5" w14:textId="77777777" w:rsidR="007D75CF" w:rsidRPr="00BC2517" w:rsidRDefault="007D75CF" w:rsidP="007D75CF">
      <w:pPr>
        <w:rPr>
          <w:lang w:val="sl-SI"/>
        </w:rPr>
      </w:pPr>
    </w:p>
    <w:p w14:paraId="290C7E32" w14:textId="77777777" w:rsidR="00F57FED" w:rsidRPr="00BC2517" w:rsidRDefault="00F57FED" w:rsidP="007D75CF">
      <w:pPr>
        <w:rPr>
          <w:lang w:val="sl-SI"/>
        </w:rPr>
      </w:pPr>
    </w:p>
    <w:p w14:paraId="5F51FB16" w14:textId="77777777" w:rsidR="00377950" w:rsidRPr="00BC2517" w:rsidRDefault="00377950" w:rsidP="007D75CF">
      <w:pPr>
        <w:rPr>
          <w:lang w:val="sl-SI"/>
        </w:rPr>
      </w:pPr>
    </w:p>
    <w:p w14:paraId="671A714D" w14:textId="77777777" w:rsidR="00377950" w:rsidRPr="00BC2517" w:rsidRDefault="00377950" w:rsidP="007D75CF">
      <w:pPr>
        <w:rPr>
          <w:lang w:val="sl-SI"/>
        </w:rPr>
      </w:pPr>
    </w:p>
    <w:p w14:paraId="7C798FE7" w14:textId="77777777" w:rsidR="00377950" w:rsidRPr="00BC2517" w:rsidRDefault="00377950" w:rsidP="007D75CF">
      <w:pPr>
        <w:rPr>
          <w:lang w:val="sl-SI"/>
        </w:rPr>
      </w:pPr>
    </w:p>
    <w:p w14:paraId="5E929790" w14:textId="77777777" w:rsidR="00377950" w:rsidRPr="00BC2517" w:rsidRDefault="00377950" w:rsidP="007D75CF">
      <w:pPr>
        <w:rPr>
          <w:lang w:val="sl-SI"/>
        </w:rPr>
      </w:pPr>
    </w:p>
    <w:p w14:paraId="38CD58E3" w14:textId="77777777" w:rsidR="00377950" w:rsidRPr="00BC2517" w:rsidRDefault="00377950" w:rsidP="007D75CF">
      <w:pPr>
        <w:rPr>
          <w:lang w:val="sl-SI"/>
        </w:rPr>
      </w:pPr>
    </w:p>
    <w:p w14:paraId="38D7D3AF" w14:textId="77777777" w:rsidR="007E6DC5" w:rsidRPr="00BC2517" w:rsidRDefault="007E6DC5" w:rsidP="007D75CF">
      <w:pPr>
        <w:rPr>
          <w:lang w:val="sl-SI"/>
        </w:rPr>
      </w:pPr>
    </w:p>
    <w:sectPr w:rsidR="007E6DC5" w:rsidRPr="00BC2517" w:rsidSect="00F002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E234" w14:textId="77777777" w:rsidR="00044139" w:rsidRDefault="00044139">
      <w:pPr>
        <w:spacing w:line="240" w:lineRule="auto"/>
      </w:pPr>
      <w:r>
        <w:separator/>
      </w:r>
    </w:p>
  </w:endnote>
  <w:endnote w:type="continuationSeparator" w:id="0">
    <w:p w14:paraId="61008475" w14:textId="77777777" w:rsidR="00044139" w:rsidRDefault="00044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1309" w14:textId="77777777" w:rsidR="007A74E6" w:rsidRDefault="007A74E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F377" w14:textId="77777777" w:rsidR="000B0B21" w:rsidRDefault="00CC5BA3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E32F6B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E32F6B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C782" w14:textId="77777777" w:rsidR="000B0B21" w:rsidRDefault="00CC5BA3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651405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651405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E79F" w14:textId="77777777" w:rsidR="00044139" w:rsidRDefault="00044139">
      <w:pPr>
        <w:spacing w:line="240" w:lineRule="auto"/>
      </w:pPr>
      <w:r>
        <w:separator/>
      </w:r>
    </w:p>
  </w:footnote>
  <w:footnote w:type="continuationSeparator" w:id="0">
    <w:p w14:paraId="154D21D1" w14:textId="77777777" w:rsidR="00044139" w:rsidRDefault="000441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765E" w14:textId="77777777" w:rsidR="007A74E6" w:rsidRDefault="007A74E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846A" w14:textId="77777777" w:rsidR="000B0B21" w:rsidRPr="00110CBD" w:rsidRDefault="000B0B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3A01" w14:paraId="3C7F29AD" w14:textId="77777777">
      <w:trPr>
        <w:cantSplit/>
        <w:trHeight w:hRule="exact" w:val="847"/>
      </w:trPr>
      <w:tc>
        <w:tcPr>
          <w:tcW w:w="567" w:type="dxa"/>
        </w:tcPr>
        <w:p w14:paraId="2FF91811" w14:textId="77777777" w:rsidR="000B0B21" w:rsidRDefault="00CC5BA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21D2390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EA078E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30ADED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18D37B1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9E2591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140238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A5FBD1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BA5E70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C5BC8A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DEC969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E17B5E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467DCC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54BADF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91ECF4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A3C34B8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BF35C9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56E9A86" w14:textId="77777777" w:rsidR="000B0B21" w:rsidRPr="008F3500" w:rsidRDefault="00CC5BA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ko-K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8D19E77" wp14:editId="3CB8EF4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position:absolute;v-text-anchor:top;z-index:-251658240" from="-34pt,283.5pt" to="-14.15pt,283.5pt" o:allowincell="f" fillcolor="this" stroked="t" strokecolor="#428299" strokeweight="0.5pt">
              <v:stroke joinstyle="round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2F2B0E3A" w14:textId="77777777" w:rsidR="000B0B21" w:rsidRPr="008B2E72" w:rsidRDefault="00CC5BA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8B2E72">
      <w:rPr>
        <w:rFonts w:ascii="Republika" w:hAnsi="Republika"/>
        <w:b/>
        <w:caps/>
        <w:lang w:val="sl-SI"/>
      </w:rPr>
      <w:t>Ministrstvo za finance</w:t>
    </w:r>
  </w:p>
  <w:p w14:paraId="21CD912D" w14:textId="77777777" w:rsidR="00ED7E82" w:rsidRDefault="00CC5BA3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A12D5C">
      <w:rPr>
        <w:rFonts w:ascii="Republika" w:hAnsi="Republika"/>
        <w:caps/>
        <w:lang w:val="sl-SI"/>
      </w:rPr>
      <w:t xml:space="preserve"> uprava Republike Slovenije</w:t>
    </w:r>
  </w:p>
  <w:p w14:paraId="66473779" w14:textId="77777777" w:rsidR="000B0B21" w:rsidRDefault="00CC5BA3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lang w:val="sl-SI"/>
      </w:rPr>
    </w:pPr>
    <w:r>
      <w:rPr>
        <w:rFonts w:ascii="Republika" w:hAnsi="Republika"/>
        <w:lang w:val="sl-SI"/>
      </w:rPr>
      <w:t>Generalni finančni</w:t>
    </w:r>
    <w:r w:rsidR="00A12D5C">
      <w:rPr>
        <w:rFonts w:ascii="Republika" w:hAnsi="Republika"/>
        <w:lang w:val="sl-SI"/>
      </w:rPr>
      <w:t xml:space="preserve"> urad</w:t>
    </w:r>
  </w:p>
  <w:p w14:paraId="55280BC6" w14:textId="77777777" w:rsidR="00FA2477" w:rsidRPr="00A12D5C" w:rsidRDefault="00CC5BA3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 w:rsidRPr="003A5F98">
      <w:rPr>
        <w:rFonts w:ascii="Republika" w:hAnsi="Republika"/>
        <w:lang w:val="sl-SI"/>
      </w:rPr>
      <w:t>Finančna akademija</w:t>
    </w:r>
  </w:p>
  <w:p w14:paraId="7C589D91" w14:textId="77777777" w:rsidR="00F47F58" w:rsidRPr="008F3500" w:rsidRDefault="00CC5BA3" w:rsidP="00F47F58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="000B0B21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="000B0B21" w:rsidRPr="008F3500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01 478 38 00</w:t>
    </w:r>
  </w:p>
  <w:p w14:paraId="6EA1C06E" w14:textId="77777777" w:rsidR="00F47F58" w:rsidRPr="008F3500" w:rsidRDefault="00CC5BA3" w:rsidP="00F47F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4E60266F" w14:textId="77777777" w:rsidR="00F47F58" w:rsidRPr="008F3500" w:rsidRDefault="00CC5BA3" w:rsidP="00F47F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59AF4E82" w14:textId="77777777" w:rsidR="000B0B21" w:rsidRPr="008F3500" w:rsidRDefault="000B0B21" w:rsidP="00F47F58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EA3ED5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44117C" w:tentative="1">
      <w:start w:val="1"/>
      <w:numFmt w:val="lowerLetter"/>
      <w:lvlText w:val="%2."/>
      <w:lvlJc w:val="left"/>
      <w:pPr>
        <w:ind w:left="1800" w:hanging="360"/>
      </w:pPr>
    </w:lvl>
    <w:lvl w:ilvl="2" w:tplc="459037C6" w:tentative="1">
      <w:start w:val="1"/>
      <w:numFmt w:val="lowerRoman"/>
      <w:lvlText w:val="%3."/>
      <w:lvlJc w:val="right"/>
      <w:pPr>
        <w:ind w:left="2520" w:hanging="180"/>
      </w:pPr>
    </w:lvl>
    <w:lvl w:ilvl="3" w:tplc="F1F01480" w:tentative="1">
      <w:start w:val="1"/>
      <w:numFmt w:val="decimal"/>
      <w:lvlText w:val="%4."/>
      <w:lvlJc w:val="left"/>
      <w:pPr>
        <w:ind w:left="3240" w:hanging="360"/>
      </w:pPr>
    </w:lvl>
    <w:lvl w:ilvl="4" w:tplc="B78E7BC6" w:tentative="1">
      <w:start w:val="1"/>
      <w:numFmt w:val="lowerLetter"/>
      <w:lvlText w:val="%5."/>
      <w:lvlJc w:val="left"/>
      <w:pPr>
        <w:ind w:left="3960" w:hanging="360"/>
      </w:pPr>
    </w:lvl>
    <w:lvl w:ilvl="5" w:tplc="E618EAA6" w:tentative="1">
      <w:start w:val="1"/>
      <w:numFmt w:val="lowerRoman"/>
      <w:lvlText w:val="%6."/>
      <w:lvlJc w:val="right"/>
      <w:pPr>
        <w:ind w:left="4680" w:hanging="180"/>
      </w:pPr>
    </w:lvl>
    <w:lvl w:ilvl="6" w:tplc="8E302D0C" w:tentative="1">
      <w:start w:val="1"/>
      <w:numFmt w:val="decimal"/>
      <w:lvlText w:val="%7."/>
      <w:lvlJc w:val="left"/>
      <w:pPr>
        <w:ind w:left="5400" w:hanging="360"/>
      </w:pPr>
    </w:lvl>
    <w:lvl w:ilvl="7" w:tplc="A37EAC12" w:tentative="1">
      <w:start w:val="1"/>
      <w:numFmt w:val="lowerLetter"/>
      <w:lvlText w:val="%8."/>
      <w:lvlJc w:val="left"/>
      <w:pPr>
        <w:ind w:left="6120" w:hanging="360"/>
      </w:pPr>
    </w:lvl>
    <w:lvl w:ilvl="8" w:tplc="D4FC6B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D870B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32F480" w:tentative="1">
      <w:start w:val="1"/>
      <w:numFmt w:val="lowerLetter"/>
      <w:lvlText w:val="%2."/>
      <w:lvlJc w:val="left"/>
      <w:pPr>
        <w:ind w:left="1080" w:hanging="360"/>
      </w:pPr>
    </w:lvl>
    <w:lvl w:ilvl="2" w:tplc="7FF08578" w:tentative="1">
      <w:start w:val="1"/>
      <w:numFmt w:val="lowerRoman"/>
      <w:lvlText w:val="%3."/>
      <w:lvlJc w:val="right"/>
      <w:pPr>
        <w:ind w:left="1800" w:hanging="180"/>
      </w:pPr>
    </w:lvl>
    <w:lvl w:ilvl="3" w:tplc="C302986C" w:tentative="1">
      <w:start w:val="1"/>
      <w:numFmt w:val="decimal"/>
      <w:lvlText w:val="%4."/>
      <w:lvlJc w:val="left"/>
      <w:pPr>
        <w:ind w:left="2520" w:hanging="360"/>
      </w:pPr>
    </w:lvl>
    <w:lvl w:ilvl="4" w:tplc="E528DE46" w:tentative="1">
      <w:start w:val="1"/>
      <w:numFmt w:val="lowerLetter"/>
      <w:lvlText w:val="%5."/>
      <w:lvlJc w:val="left"/>
      <w:pPr>
        <w:ind w:left="3240" w:hanging="360"/>
      </w:pPr>
    </w:lvl>
    <w:lvl w:ilvl="5" w:tplc="DBDE4BD6" w:tentative="1">
      <w:start w:val="1"/>
      <w:numFmt w:val="lowerRoman"/>
      <w:lvlText w:val="%6."/>
      <w:lvlJc w:val="right"/>
      <w:pPr>
        <w:ind w:left="3960" w:hanging="180"/>
      </w:pPr>
    </w:lvl>
    <w:lvl w:ilvl="6" w:tplc="C7CA0FF6" w:tentative="1">
      <w:start w:val="1"/>
      <w:numFmt w:val="decimal"/>
      <w:lvlText w:val="%7."/>
      <w:lvlJc w:val="left"/>
      <w:pPr>
        <w:ind w:left="4680" w:hanging="360"/>
      </w:pPr>
    </w:lvl>
    <w:lvl w:ilvl="7" w:tplc="9A7AD448" w:tentative="1">
      <w:start w:val="1"/>
      <w:numFmt w:val="lowerLetter"/>
      <w:lvlText w:val="%8."/>
      <w:lvlJc w:val="left"/>
      <w:pPr>
        <w:ind w:left="5400" w:hanging="360"/>
      </w:pPr>
    </w:lvl>
    <w:lvl w:ilvl="8" w:tplc="6B3E85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3E105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2EC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E2E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6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2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47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CB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8F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4E0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7040A6"/>
    <w:multiLevelType w:val="multilevel"/>
    <w:tmpl w:val="E28EF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624F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4C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22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DC6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A6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AC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02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AD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0EE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706A4"/>
    <w:multiLevelType w:val="hybridMultilevel"/>
    <w:tmpl w:val="B078A14E"/>
    <w:lvl w:ilvl="0" w:tplc="35EE6448">
      <w:start w:val="7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69133">
    <w:abstractNumId w:val="5"/>
  </w:num>
  <w:num w:numId="2" w16cid:durableId="511383165">
    <w:abstractNumId w:val="2"/>
  </w:num>
  <w:num w:numId="3" w16cid:durableId="1824151929">
    <w:abstractNumId w:val="3"/>
  </w:num>
  <w:num w:numId="4" w16cid:durableId="1102605714">
    <w:abstractNumId w:val="0"/>
  </w:num>
  <w:num w:numId="5" w16cid:durableId="2136556720">
    <w:abstractNumId w:val="1"/>
  </w:num>
  <w:num w:numId="6" w16cid:durableId="1134757993">
    <w:abstractNumId w:val="4"/>
  </w:num>
  <w:num w:numId="7" w16cid:durableId="1446196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38"/>
    <w:rsid w:val="000063FF"/>
    <w:rsid w:val="000206AE"/>
    <w:rsid w:val="00023A88"/>
    <w:rsid w:val="00044139"/>
    <w:rsid w:val="000636E1"/>
    <w:rsid w:val="0008352D"/>
    <w:rsid w:val="000A07CE"/>
    <w:rsid w:val="000A2C92"/>
    <w:rsid w:val="000A7238"/>
    <w:rsid w:val="000B0B21"/>
    <w:rsid w:val="000D08A9"/>
    <w:rsid w:val="000E2F2B"/>
    <w:rsid w:val="000E7875"/>
    <w:rsid w:val="000F3D38"/>
    <w:rsid w:val="00110CBD"/>
    <w:rsid w:val="00123D7D"/>
    <w:rsid w:val="001357B2"/>
    <w:rsid w:val="00151388"/>
    <w:rsid w:val="00151872"/>
    <w:rsid w:val="00160E5F"/>
    <w:rsid w:val="001A3BA5"/>
    <w:rsid w:val="001F3B21"/>
    <w:rsid w:val="001F7BC0"/>
    <w:rsid w:val="00202A77"/>
    <w:rsid w:val="00207DC8"/>
    <w:rsid w:val="00232E47"/>
    <w:rsid w:val="0024583F"/>
    <w:rsid w:val="00261D80"/>
    <w:rsid w:val="00261D99"/>
    <w:rsid w:val="00262960"/>
    <w:rsid w:val="00271CE5"/>
    <w:rsid w:val="00282020"/>
    <w:rsid w:val="00282A2F"/>
    <w:rsid w:val="00285890"/>
    <w:rsid w:val="002934F1"/>
    <w:rsid w:val="00296D93"/>
    <w:rsid w:val="00297F27"/>
    <w:rsid w:val="002A4B44"/>
    <w:rsid w:val="002C7EEB"/>
    <w:rsid w:val="002F1662"/>
    <w:rsid w:val="00304726"/>
    <w:rsid w:val="00315D82"/>
    <w:rsid w:val="00352109"/>
    <w:rsid w:val="003636BF"/>
    <w:rsid w:val="00370AA7"/>
    <w:rsid w:val="00371034"/>
    <w:rsid w:val="0037479F"/>
    <w:rsid w:val="00377950"/>
    <w:rsid w:val="003845B4"/>
    <w:rsid w:val="00387B1A"/>
    <w:rsid w:val="0039148F"/>
    <w:rsid w:val="003A5F98"/>
    <w:rsid w:val="003B5CF4"/>
    <w:rsid w:val="003C28AA"/>
    <w:rsid w:val="003C3B1D"/>
    <w:rsid w:val="003D0306"/>
    <w:rsid w:val="003E1C74"/>
    <w:rsid w:val="003E7E9E"/>
    <w:rsid w:val="003F4966"/>
    <w:rsid w:val="00464335"/>
    <w:rsid w:val="00484A06"/>
    <w:rsid w:val="004A2490"/>
    <w:rsid w:val="004A4233"/>
    <w:rsid w:val="004A6A59"/>
    <w:rsid w:val="004B160E"/>
    <w:rsid w:val="004E3584"/>
    <w:rsid w:val="004F561D"/>
    <w:rsid w:val="0050296F"/>
    <w:rsid w:val="005149DF"/>
    <w:rsid w:val="005177DF"/>
    <w:rsid w:val="00525C18"/>
    <w:rsid w:val="00526246"/>
    <w:rsid w:val="00532C59"/>
    <w:rsid w:val="0055206D"/>
    <w:rsid w:val="00567106"/>
    <w:rsid w:val="005709F2"/>
    <w:rsid w:val="005916E5"/>
    <w:rsid w:val="005B0438"/>
    <w:rsid w:val="005E1D3C"/>
    <w:rsid w:val="006268BE"/>
    <w:rsid w:val="00632253"/>
    <w:rsid w:val="00642714"/>
    <w:rsid w:val="00643C4E"/>
    <w:rsid w:val="006455CE"/>
    <w:rsid w:val="00651405"/>
    <w:rsid w:val="00694B33"/>
    <w:rsid w:val="006C4AE3"/>
    <w:rsid w:val="006D42D9"/>
    <w:rsid w:val="006F142E"/>
    <w:rsid w:val="00726463"/>
    <w:rsid w:val="00733017"/>
    <w:rsid w:val="00751D38"/>
    <w:rsid w:val="00775FED"/>
    <w:rsid w:val="00780335"/>
    <w:rsid w:val="00783310"/>
    <w:rsid w:val="00794B95"/>
    <w:rsid w:val="00794E63"/>
    <w:rsid w:val="007A4A6D"/>
    <w:rsid w:val="007A74E6"/>
    <w:rsid w:val="007D05C8"/>
    <w:rsid w:val="007D1BCF"/>
    <w:rsid w:val="007D75CF"/>
    <w:rsid w:val="007E3A01"/>
    <w:rsid w:val="007E6DC5"/>
    <w:rsid w:val="008078F7"/>
    <w:rsid w:val="0088043C"/>
    <w:rsid w:val="008906C9"/>
    <w:rsid w:val="008A5918"/>
    <w:rsid w:val="008B2E72"/>
    <w:rsid w:val="008C00F2"/>
    <w:rsid w:val="008C5738"/>
    <w:rsid w:val="008D04F0"/>
    <w:rsid w:val="008E1660"/>
    <w:rsid w:val="008E2D84"/>
    <w:rsid w:val="008F3500"/>
    <w:rsid w:val="009022B3"/>
    <w:rsid w:val="00924E3C"/>
    <w:rsid w:val="00925A8B"/>
    <w:rsid w:val="009612BB"/>
    <w:rsid w:val="009B0295"/>
    <w:rsid w:val="009C5340"/>
    <w:rsid w:val="009E42F2"/>
    <w:rsid w:val="00A05DC7"/>
    <w:rsid w:val="00A125C5"/>
    <w:rsid w:val="00A12D5C"/>
    <w:rsid w:val="00A216AF"/>
    <w:rsid w:val="00A3267F"/>
    <w:rsid w:val="00A36906"/>
    <w:rsid w:val="00A45EAF"/>
    <w:rsid w:val="00A5039D"/>
    <w:rsid w:val="00A65EE7"/>
    <w:rsid w:val="00A70133"/>
    <w:rsid w:val="00A72510"/>
    <w:rsid w:val="00AA47FE"/>
    <w:rsid w:val="00AC05DE"/>
    <w:rsid w:val="00AC56FF"/>
    <w:rsid w:val="00AC5C16"/>
    <w:rsid w:val="00AD5A5B"/>
    <w:rsid w:val="00AE1792"/>
    <w:rsid w:val="00AE2D7F"/>
    <w:rsid w:val="00B011EA"/>
    <w:rsid w:val="00B038B1"/>
    <w:rsid w:val="00B17141"/>
    <w:rsid w:val="00B31575"/>
    <w:rsid w:val="00B62CE5"/>
    <w:rsid w:val="00B63BD4"/>
    <w:rsid w:val="00B677B6"/>
    <w:rsid w:val="00B8547D"/>
    <w:rsid w:val="00B93548"/>
    <w:rsid w:val="00BC2517"/>
    <w:rsid w:val="00BC61EF"/>
    <w:rsid w:val="00BE423F"/>
    <w:rsid w:val="00BF75C5"/>
    <w:rsid w:val="00C1397D"/>
    <w:rsid w:val="00C250D5"/>
    <w:rsid w:val="00C47F8D"/>
    <w:rsid w:val="00C5171C"/>
    <w:rsid w:val="00C52DAE"/>
    <w:rsid w:val="00C57EED"/>
    <w:rsid w:val="00C81391"/>
    <w:rsid w:val="00C92898"/>
    <w:rsid w:val="00C97222"/>
    <w:rsid w:val="00CA28CB"/>
    <w:rsid w:val="00CC5BA3"/>
    <w:rsid w:val="00CE7514"/>
    <w:rsid w:val="00D248DE"/>
    <w:rsid w:val="00D25427"/>
    <w:rsid w:val="00D31B74"/>
    <w:rsid w:val="00D3564D"/>
    <w:rsid w:val="00D8542D"/>
    <w:rsid w:val="00DB11E1"/>
    <w:rsid w:val="00DB4E6F"/>
    <w:rsid w:val="00DC62F6"/>
    <w:rsid w:val="00DC6A71"/>
    <w:rsid w:val="00DD6CC3"/>
    <w:rsid w:val="00DE5B46"/>
    <w:rsid w:val="00E0357D"/>
    <w:rsid w:val="00E20A8F"/>
    <w:rsid w:val="00E24EC2"/>
    <w:rsid w:val="00E32F6B"/>
    <w:rsid w:val="00E447E8"/>
    <w:rsid w:val="00E51C0F"/>
    <w:rsid w:val="00E6035D"/>
    <w:rsid w:val="00E8201C"/>
    <w:rsid w:val="00E94ECF"/>
    <w:rsid w:val="00EA0E3C"/>
    <w:rsid w:val="00ED00D1"/>
    <w:rsid w:val="00ED27F8"/>
    <w:rsid w:val="00ED7E82"/>
    <w:rsid w:val="00EF3280"/>
    <w:rsid w:val="00EF63CC"/>
    <w:rsid w:val="00F0025B"/>
    <w:rsid w:val="00F02E53"/>
    <w:rsid w:val="00F1126C"/>
    <w:rsid w:val="00F240BB"/>
    <w:rsid w:val="00F42CE8"/>
    <w:rsid w:val="00F46724"/>
    <w:rsid w:val="00F47F58"/>
    <w:rsid w:val="00F57FED"/>
    <w:rsid w:val="00F94746"/>
    <w:rsid w:val="00FA2477"/>
    <w:rsid w:val="00FE6E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81E91D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styleId="Golobesedilo">
    <w:name w:val="Plain Text"/>
    <w:basedOn w:val="Navaden"/>
    <w:link w:val="GolobesediloZnak"/>
    <w:rsid w:val="0055206D"/>
    <w:pPr>
      <w:spacing w:after="120" w:line="240" w:lineRule="auto"/>
      <w:ind w:right="-284"/>
      <w:jc w:val="both"/>
    </w:pPr>
    <w:rPr>
      <w:rFonts w:ascii="Courier New" w:hAnsi="Courier New" w:cs="Arial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55206D"/>
    <w:rPr>
      <w:rFonts w:ascii="Courier New" w:hAnsi="Courier New" w:cs="Arial"/>
      <w:szCs w:val="22"/>
    </w:rPr>
  </w:style>
  <w:style w:type="character" w:styleId="Krepko">
    <w:name w:val="Strong"/>
    <w:basedOn w:val="Privzetapisavaodstavka"/>
    <w:uiPriority w:val="22"/>
    <w:qFormat/>
    <w:rsid w:val="0055206D"/>
    <w:rPr>
      <w:b/>
      <w:bCs/>
    </w:rPr>
  </w:style>
  <w:style w:type="paragraph" w:styleId="Odstavekseznama">
    <w:name w:val="List Paragraph"/>
    <w:basedOn w:val="Navaden"/>
    <w:uiPriority w:val="34"/>
    <w:qFormat/>
    <w:rsid w:val="00B935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gu00nt02\OE\GFU%20Financna%20akademija\BRANKA%20N\DOM\2024-25\anketa%202023%202024.od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gu00nt02\OE\GFU%20Financna%20akademija\BRANKA%20N\DOM\2024-25\anketa%202023%202024.od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gu00nt02\OE\GFU%20Financna%20akademija\BRANKA%20N\DOM\2024-25\anketa%202023%202024.od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gu00nt02\OE\GFU%20Financna%20akademija\BRANKA%20N\DOM\2024-25\anketa%202023%202024.od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gu00nt02\OE\GFU%20Financna%20akademija\BRANKA%20N\DOM\2024-25\anketa%202023%202024.od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Pomen besede "davek"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List1!$C$2</c:f>
              <c:strCache>
                <c:ptCount val="1"/>
                <c:pt idx="0">
                  <c:v>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List1!$B$3:$B$6</c:f>
              <c:strCache>
                <c:ptCount val="4"/>
                <c:pt idx="0">
                  <c:v>Davek je obvezna denarna dajatev</c:v>
                </c:pt>
                <c:pt idx="1">
                  <c:v>Davek je obremenitev za državljane</c:v>
                </c:pt>
                <c:pt idx="2">
                  <c:v>Davek je pomemben za delovanje države</c:v>
                </c:pt>
                <c:pt idx="3">
                  <c:v>Davek je "ne bodi ga treba"</c:v>
                </c:pt>
              </c:strCache>
            </c:strRef>
          </c:cat>
          <c:val>
            <c:numRef>
              <c:f>List1!$C$3:$C$6</c:f>
              <c:numCache>
                <c:formatCode>0%</c:formatCode>
                <c:ptCount val="4"/>
                <c:pt idx="0">
                  <c:v>0.55000000000000004</c:v>
                </c:pt>
                <c:pt idx="1">
                  <c:v>7.0000000000000007E-2</c:v>
                </c:pt>
                <c:pt idx="2">
                  <c:v>0.36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3B-45A9-8CF1-1C978AEBB5CB}"/>
            </c:ext>
          </c:extLst>
        </c:ser>
        <c:ser>
          <c:idx val="1"/>
          <c:order val="1"/>
          <c:tx>
            <c:strRef>
              <c:f>List1!$D$2</c:f>
              <c:strCache>
                <c:ptCount val="1"/>
                <c:pt idx="0">
                  <c:v>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List1!$B$3:$B$6</c:f>
              <c:strCache>
                <c:ptCount val="4"/>
                <c:pt idx="0">
                  <c:v>Davek je obvezna denarna dajatev</c:v>
                </c:pt>
                <c:pt idx="1">
                  <c:v>Davek je obremenitev za državljane</c:v>
                </c:pt>
                <c:pt idx="2">
                  <c:v>Davek je pomemben za delovanje države</c:v>
                </c:pt>
                <c:pt idx="3">
                  <c:v>Davek je "ne bodi ga treba"</c:v>
                </c:pt>
              </c:strCache>
            </c:strRef>
          </c:cat>
          <c:val>
            <c:numRef>
              <c:f>List1!$D$3:$D$6</c:f>
              <c:numCache>
                <c:formatCode>0%</c:formatCode>
                <c:ptCount val="4"/>
                <c:pt idx="0">
                  <c:v>0.55000000000000004</c:v>
                </c:pt>
                <c:pt idx="1">
                  <c:v>0.13</c:v>
                </c:pt>
                <c:pt idx="2">
                  <c:v>0.25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3B-45A9-8CF1-1C978AEBB5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79685296"/>
        <c:axId val="779685656"/>
      </c:barChart>
      <c:catAx>
        <c:axId val="779685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79685656"/>
        <c:crosses val="autoZero"/>
        <c:auto val="1"/>
        <c:lblAlgn val="ctr"/>
        <c:lblOffset val="100"/>
        <c:noMultiLvlLbl val="0"/>
      </c:catAx>
      <c:valAx>
        <c:axId val="779685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7968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Zakaj je pomembno jemati račune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List1!$C$23</c:f>
              <c:strCache>
                <c:ptCount val="1"/>
                <c:pt idx="0">
                  <c:v>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List1!$B$24:$B$28</c:f>
              <c:strCache>
                <c:ptCount val="5"/>
                <c:pt idx="0">
                  <c:v>Da lahko z njim uveljavljam garancijo na izdelek ali storitev</c:v>
                </c:pt>
                <c:pt idx="1">
                  <c:v>Ker doma zbiramo vse račune glede družinske potrošnje</c:v>
                </c:pt>
                <c:pt idx="2">
                  <c:v>Da lahko staršem pokažem, da sem denar res porabil za tisto, kar je bilo dogovorjeno</c:v>
                </c:pt>
                <c:pt idx="3">
                  <c:v>Ker ga prodajalec lahko izbriše iz blagajne in ne plača davka</c:v>
                </c:pt>
                <c:pt idx="4">
                  <c:v>Ni pomembno jemati računa</c:v>
                </c:pt>
              </c:strCache>
            </c:strRef>
          </c:cat>
          <c:val>
            <c:numRef>
              <c:f>List1!$C$24:$C$28</c:f>
              <c:numCache>
                <c:formatCode>0%</c:formatCode>
                <c:ptCount val="5"/>
                <c:pt idx="0">
                  <c:v>0.57999999999999996</c:v>
                </c:pt>
                <c:pt idx="1">
                  <c:v>0.09</c:v>
                </c:pt>
                <c:pt idx="2">
                  <c:v>0.15</c:v>
                </c:pt>
                <c:pt idx="3">
                  <c:v>0.2</c:v>
                </c:pt>
                <c:pt idx="4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A5-4BEF-9423-4B9930492DF8}"/>
            </c:ext>
          </c:extLst>
        </c:ser>
        <c:ser>
          <c:idx val="1"/>
          <c:order val="1"/>
          <c:tx>
            <c:strRef>
              <c:f>List1!$D$23</c:f>
              <c:strCache>
                <c:ptCount val="1"/>
                <c:pt idx="0">
                  <c:v>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List1!$B$24:$B$28</c:f>
              <c:strCache>
                <c:ptCount val="5"/>
                <c:pt idx="0">
                  <c:v>Da lahko z njim uveljavljam garancijo na izdelek ali storitev</c:v>
                </c:pt>
                <c:pt idx="1">
                  <c:v>Ker doma zbiramo vse račune glede družinske potrošnje</c:v>
                </c:pt>
                <c:pt idx="2">
                  <c:v>Da lahko staršem pokažem, da sem denar res porabil za tisto, kar je bilo dogovorjeno</c:v>
                </c:pt>
                <c:pt idx="3">
                  <c:v>Ker ga prodajalec lahko izbriše iz blagajne in ne plača davka</c:v>
                </c:pt>
                <c:pt idx="4">
                  <c:v>Ni pomembno jemati računa</c:v>
                </c:pt>
              </c:strCache>
            </c:strRef>
          </c:cat>
          <c:val>
            <c:numRef>
              <c:f>List1!$D$24:$D$28</c:f>
              <c:numCache>
                <c:formatCode>0%</c:formatCode>
                <c:ptCount val="5"/>
                <c:pt idx="0">
                  <c:v>0.7</c:v>
                </c:pt>
                <c:pt idx="1">
                  <c:v>0.09</c:v>
                </c:pt>
                <c:pt idx="2">
                  <c:v>0.23</c:v>
                </c:pt>
                <c:pt idx="3">
                  <c:v>0.18</c:v>
                </c:pt>
                <c:pt idx="4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A5-4BEF-9423-4B9930492D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4480088"/>
        <c:axId val="774482608"/>
      </c:barChart>
      <c:catAx>
        <c:axId val="774480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74482608"/>
        <c:crosses val="autoZero"/>
        <c:auto val="1"/>
        <c:lblAlgn val="ctr"/>
        <c:lblOffset val="100"/>
        <c:noMultiLvlLbl val="0"/>
      </c:catAx>
      <c:valAx>
        <c:axId val="77448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74480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Kdo naj plačuje davke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List1!$C$46</c:f>
              <c:strCache>
                <c:ptCount val="1"/>
                <c:pt idx="0">
                  <c:v>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List1!$B$47:$B$51</c:f>
              <c:strCache>
                <c:ptCount val="5"/>
                <c:pt idx="0">
                  <c:v>vsi za vse svoje prihodke</c:v>
                </c:pt>
                <c:pt idx="1">
                  <c:v>samo tisti, ki so zaposleni</c:v>
                </c:pt>
                <c:pt idx="2">
                  <c:v>samo tisti z najvišjimi prihodki</c:v>
                </c:pt>
                <c:pt idx="3">
                  <c:v>samo podjetniki</c:v>
                </c:pt>
                <c:pt idx="4">
                  <c:v>nihče</c:v>
                </c:pt>
              </c:strCache>
            </c:strRef>
          </c:cat>
          <c:val>
            <c:numRef>
              <c:f>List1!$C$47:$C$51</c:f>
              <c:numCache>
                <c:formatCode>0%</c:formatCode>
                <c:ptCount val="5"/>
                <c:pt idx="0">
                  <c:v>0.7</c:v>
                </c:pt>
                <c:pt idx="1">
                  <c:v>0.14000000000000001</c:v>
                </c:pt>
                <c:pt idx="2">
                  <c:v>0.09</c:v>
                </c:pt>
                <c:pt idx="3">
                  <c:v>0.02</c:v>
                </c:pt>
                <c:pt idx="4">
                  <c:v>0.05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44-4FCC-9A48-58F84A7F7EA1}"/>
            </c:ext>
          </c:extLst>
        </c:ser>
        <c:ser>
          <c:idx val="1"/>
          <c:order val="1"/>
          <c:tx>
            <c:strRef>
              <c:f>List1!$D$46</c:f>
              <c:strCache>
                <c:ptCount val="1"/>
                <c:pt idx="0">
                  <c:v>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List1!$B$47:$B$51</c:f>
              <c:strCache>
                <c:ptCount val="5"/>
                <c:pt idx="0">
                  <c:v>vsi za vse svoje prihodke</c:v>
                </c:pt>
                <c:pt idx="1">
                  <c:v>samo tisti, ki so zaposleni</c:v>
                </c:pt>
                <c:pt idx="2">
                  <c:v>samo tisti z najvišjimi prihodki</c:v>
                </c:pt>
                <c:pt idx="3">
                  <c:v>samo podjetniki</c:v>
                </c:pt>
                <c:pt idx="4">
                  <c:v>nihče</c:v>
                </c:pt>
              </c:strCache>
            </c:strRef>
          </c:cat>
          <c:val>
            <c:numRef>
              <c:f>List1!$D$47:$D$51</c:f>
              <c:numCache>
                <c:formatCode>0%</c:formatCode>
                <c:ptCount val="5"/>
                <c:pt idx="0">
                  <c:v>0.59</c:v>
                </c:pt>
                <c:pt idx="1">
                  <c:v>0.2</c:v>
                </c:pt>
                <c:pt idx="2">
                  <c:v>0.1</c:v>
                </c:pt>
                <c:pt idx="3">
                  <c:v>0.03</c:v>
                </c:pt>
                <c:pt idx="4">
                  <c:v>0.09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44-4FCC-9A48-58F84A7F7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8613664"/>
        <c:axId val="596733832"/>
      </c:lineChart>
      <c:catAx>
        <c:axId val="58861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96733832"/>
        <c:crosses val="autoZero"/>
        <c:auto val="1"/>
        <c:lblAlgn val="ctr"/>
        <c:lblOffset val="100"/>
        <c:noMultiLvlLbl val="0"/>
      </c:catAx>
      <c:valAx>
        <c:axId val="596733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8861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Kaj pomeni neplačevanje davkov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List1!$C$70</c:f>
              <c:strCache>
                <c:ptCount val="1"/>
                <c:pt idx="0">
                  <c:v>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List1!$B$71:$B$74</c:f>
              <c:strCache>
                <c:ptCount val="4"/>
                <c:pt idx="0">
                  <c:v>Je kaznivo dejanje</c:v>
                </c:pt>
                <c:pt idx="1">
                  <c:v>Je samo moralno sporno</c:v>
                </c:pt>
                <c:pt idx="2">
                  <c:v>Je nepomemben prekršek</c:v>
                </c:pt>
                <c:pt idx="3">
                  <c:v>S tem ni nič narobe </c:v>
                </c:pt>
              </c:strCache>
            </c:strRef>
          </c:cat>
          <c:val>
            <c:numRef>
              <c:f>List1!$C$71:$C$74</c:f>
              <c:numCache>
                <c:formatCode>0%</c:formatCode>
                <c:ptCount val="4"/>
                <c:pt idx="0">
                  <c:v>0.71</c:v>
                </c:pt>
                <c:pt idx="1">
                  <c:v>0.14000000000000001</c:v>
                </c:pt>
                <c:pt idx="2">
                  <c:v>0.06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C4-4F88-BF2D-77AEC2C84071}"/>
            </c:ext>
          </c:extLst>
        </c:ser>
        <c:ser>
          <c:idx val="1"/>
          <c:order val="1"/>
          <c:tx>
            <c:strRef>
              <c:f>List1!$D$70</c:f>
              <c:strCache>
                <c:ptCount val="1"/>
                <c:pt idx="0">
                  <c:v>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List1!$B$71:$B$74</c:f>
              <c:strCache>
                <c:ptCount val="4"/>
                <c:pt idx="0">
                  <c:v>Je kaznivo dejanje</c:v>
                </c:pt>
                <c:pt idx="1">
                  <c:v>Je samo moralno sporno</c:v>
                </c:pt>
                <c:pt idx="2">
                  <c:v>Je nepomemben prekršek</c:v>
                </c:pt>
                <c:pt idx="3">
                  <c:v>S tem ni nič narobe </c:v>
                </c:pt>
              </c:strCache>
            </c:strRef>
          </c:cat>
          <c:val>
            <c:numRef>
              <c:f>List1!$D$71:$D$74</c:f>
              <c:numCache>
                <c:formatCode>0%</c:formatCode>
                <c:ptCount val="4"/>
                <c:pt idx="0">
                  <c:v>0.57999999999999996</c:v>
                </c:pt>
                <c:pt idx="1">
                  <c:v>0.19</c:v>
                </c:pt>
                <c:pt idx="2">
                  <c:v>0.09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C4-4F88-BF2D-77AEC2C840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965536"/>
        <c:axId val="769965896"/>
      </c:barChart>
      <c:catAx>
        <c:axId val="76996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69965896"/>
        <c:crosses val="autoZero"/>
        <c:auto val="1"/>
        <c:lblAlgn val="ctr"/>
        <c:lblOffset val="100"/>
        <c:noMultiLvlLbl val="0"/>
      </c:catAx>
      <c:valAx>
        <c:axId val="769965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6996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Ali bi država lahko delovala brez davkov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List1!$C$92</c:f>
              <c:strCache>
                <c:ptCount val="1"/>
                <c:pt idx="0">
                  <c:v>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List1!$B$93:$B$94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List1!$C$93:$C$94</c:f>
              <c:numCache>
                <c:formatCode>0%</c:formatCode>
                <c:ptCount val="2"/>
                <c:pt idx="0">
                  <c:v>0.18</c:v>
                </c:pt>
                <c:pt idx="1">
                  <c:v>0.82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E4-48BE-BBBD-698CA95401C7}"/>
            </c:ext>
          </c:extLst>
        </c:ser>
        <c:ser>
          <c:idx val="1"/>
          <c:order val="1"/>
          <c:tx>
            <c:strRef>
              <c:f>List1!$D$92</c:f>
              <c:strCache>
                <c:ptCount val="1"/>
                <c:pt idx="0">
                  <c:v>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List1!$B$93:$B$94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List1!$D$93:$D$94</c:f>
              <c:numCache>
                <c:formatCode>0%</c:formatCode>
                <c:ptCount val="2"/>
                <c:pt idx="0">
                  <c:v>0.27</c:v>
                </c:pt>
                <c:pt idx="1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E4-48BE-BBBD-698CA95401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6735272"/>
        <c:axId val="596735992"/>
      </c:barChart>
      <c:catAx>
        <c:axId val="59673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96735992"/>
        <c:crosses val="autoZero"/>
        <c:auto val="1"/>
        <c:lblAlgn val="ctr"/>
        <c:lblOffset val="100"/>
        <c:noMultiLvlLbl val="0"/>
      </c:catAx>
      <c:valAx>
        <c:axId val="596735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96735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5129-4493-4762-B20F-94013FFA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1</TotalTime>
  <Pages>6</Pages>
  <Words>1316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Nagode</dc:creator>
  <cp:lastModifiedBy>FURS</cp:lastModifiedBy>
  <cp:revision>2</cp:revision>
  <cp:lastPrinted>2010-07-05T10:38:00Z</cp:lastPrinted>
  <dcterms:created xsi:type="dcterms:W3CDTF">2024-09-12T14:10:00Z</dcterms:created>
  <dcterms:modified xsi:type="dcterms:W3CDTF">2024-09-12T14:10:00Z</dcterms:modified>
</cp:coreProperties>
</file>