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92" w:rsidRPr="00C5012E" w:rsidRDefault="00271D57" w:rsidP="00DC6A71">
      <w:pPr>
        <w:pStyle w:val="datumtevilka"/>
        <w:rPr>
          <w:b/>
        </w:rPr>
      </w:pPr>
      <w:bookmarkStart w:id="0" w:name="NazivSubjekta"/>
      <w:bookmarkEnd w:id="0"/>
    </w:p>
    <w:p w:rsidR="007D75CF" w:rsidRPr="00C5012E" w:rsidRDefault="00271D57" w:rsidP="007D75CF">
      <w:pPr>
        <w:rPr>
          <w:lang w:val="sl-SI"/>
        </w:rPr>
      </w:pPr>
    </w:p>
    <w:p w:rsidR="007D75CF" w:rsidRPr="00C5012E" w:rsidRDefault="00271D57" w:rsidP="007D75CF">
      <w:pPr>
        <w:rPr>
          <w:lang w:val="sl-SI"/>
        </w:rPr>
      </w:pPr>
    </w:p>
    <w:p w:rsidR="00F57FED" w:rsidRPr="00C5012E" w:rsidRDefault="00271D57" w:rsidP="007D75CF">
      <w:pPr>
        <w:rPr>
          <w:lang w:val="sl-SI"/>
        </w:rPr>
      </w:pPr>
    </w:p>
    <w:p w:rsidR="00377950" w:rsidRPr="00C5012E" w:rsidRDefault="00271D57" w:rsidP="007D75CF">
      <w:pPr>
        <w:rPr>
          <w:lang w:val="sl-SI"/>
        </w:rPr>
      </w:pPr>
    </w:p>
    <w:p w:rsidR="00377950" w:rsidRPr="00C5012E" w:rsidRDefault="00271D57" w:rsidP="007D75CF">
      <w:pPr>
        <w:rPr>
          <w:lang w:val="sl-SI"/>
        </w:rPr>
      </w:pPr>
    </w:p>
    <w:p w:rsidR="00377950" w:rsidRPr="00C5012E" w:rsidRDefault="00271D57" w:rsidP="007D75CF">
      <w:pPr>
        <w:rPr>
          <w:lang w:val="sl-SI"/>
        </w:rPr>
      </w:pPr>
    </w:p>
    <w:p w:rsidR="00C5012E" w:rsidRPr="00C5012E" w:rsidRDefault="00C5012E" w:rsidP="00C5012E">
      <w:pPr>
        <w:pStyle w:val="Default"/>
      </w:pPr>
    </w:p>
    <w:p w:rsidR="00C5012E" w:rsidRDefault="00C5012E" w:rsidP="00C5012E">
      <w:pPr>
        <w:suppressAutoHyphens/>
        <w:spacing w:line="288" w:lineRule="auto"/>
        <w:jc w:val="both"/>
        <w:rPr>
          <w:b/>
          <w:szCs w:val="20"/>
          <w:lang w:val="sl-SI"/>
        </w:rPr>
      </w:pPr>
    </w:p>
    <w:p w:rsidR="00377950" w:rsidRPr="00C5012E" w:rsidRDefault="00C5012E" w:rsidP="00C5012E">
      <w:pPr>
        <w:suppressAutoHyphens/>
        <w:spacing w:line="288" w:lineRule="auto"/>
        <w:jc w:val="both"/>
        <w:rPr>
          <w:b/>
          <w:szCs w:val="20"/>
          <w:lang w:val="sl-SI"/>
        </w:rPr>
      </w:pPr>
      <w:r w:rsidRPr="00C5012E">
        <w:rPr>
          <w:b/>
          <w:szCs w:val="20"/>
          <w:lang w:val="sl-SI"/>
        </w:rPr>
        <w:t xml:space="preserve"> Evidenca uvrstitev novih iger med posebne igre na srečo po letu 1999</w:t>
      </w:r>
    </w:p>
    <w:p w:rsidR="00377950" w:rsidRPr="00C5012E" w:rsidRDefault="00271D57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Posebne igre na srečo so po Zakonu o igrah na srečo (v nadaljnjem besedilu: ZIS) igre, ki jih igrajo igralci proti igralnici ali drug proti drugemu na posebnih igralnih mizah s kroglicami, kockami, kartami, na igralnih panojih ali na igralnih avtomatih ter stave in druge podobne igre v skladu z mednarodnimi standardi.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Z uveljavitvijo ZIS leta 1995 so pravne osebe, ki so imele na dan uveljavitve tega zakona dovoljenje za prirejanje posebnih iger na srečo, nadaljevale s to dejavnostjo v nespremenjenem obsegu in v istih poslovnih prostorih do odločitve Vlade RS o dodelitvi koncesije za prirejanje posebnih iger na srečo. Vlada RS je na tej podlagi s pravnimi osebami, ki so prirejale posebne igre na srečo v igralnicah sklenila koncesijske pogodbe, ZIS pa je v 53. členu povzel tudi vse igre, ki so se tedaj prirejale v igralnicah in jih razvrstil v sedem vrst. Zakonodajalec je z določbami ZIS določil tudi, da se smejo posebne igre na srečo na igralnih avtomatih, ki jih igralci igrajo proti igralnemu avtomatu, prirejati le v igralnih salonih. Posebne igre na srečo, z izjemo 7. točke drugega odstavka tega člena, se ob pogojih iz 3.a člena tega zakona lahko prirejajo tudi po internetu oziroma drugih telekomunikacijskih sredstvih.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 xml:space="preserve"> Vrste posebnih iger na srečo so: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1. igre, ki jih igralci igrajo drug proti drugemu (</w:t>
      </w:r>
      <w:proofErr w:type="spellStart"/>
      <w:r w:rsidRPr="00C5012E">
        <w:rPr>
          <w:szCs w:val="20"/>
          <w:lang w:val="sl-SI"/>
        </w:rPr>
        <w:t>chemin</w:t>
      </w:r>
      <w:proofErr w:type="spellEnd"/>
      <w:r w:rsidRPr="00C5012E">
        <w:rPr>
          <w:szCs w:val="20"/>
          <w:lang w:val="sl-SI"/>
        </w:rPr>
        <w:t xml:space="preserve"> de </w:t>
      </w:r>
      <w:proofErr w:type="spellStart"/>
      <w:r w:rsidRPr="00C5012E">
        <w:rPr>
          <w:szCs w:val="20"/>
          <w:lang w:val="sl-SI"/>
        </w:rPr>
        <w:t>fer</w:t>
      </w:r>
      <w:proofErr w:type="spellEnd"/>
      <w:r w:rsidRPr="00C5012E">
        <w:rPr>
          <w:szCs w:val="20"/>
          <w:lang w:val="sl-SI"/>
        </w:rPr>
        <w:t xml:space="preserve">, poker);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 xml:space="preserve">2. igre s kroglico (francoska ruleta, ameriška ruleta, </w:t>
      </w:r>
      <w:proofErr w:type="spellStart"/>
      <w:r w:rsidRPr="00C5012E">
        <w:rPr>
          <w:szCs w:val="20"/>
          <w:lang w:val="sl-SI"/>
        </w:rPr>
        <w:t>boulle</w:t>
      </w:r>
      <w:proofErr w:type="spellEnd"/>
      <w:r w:rsidRPr="00C5012E">
        <w:rPr>
          <w:szCs w:val="20"/>
          <w:lang w:val="sl-SI"/>
        </w:rPr>
        <w:t xml:space="preserve">);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3. igre z igralnimi kartami, ki se igrajo proti igralnici (</w:t>
      </w:r>
      <w:proofErr w:type="spellStart"/>
      <w:r w:rsidRPr="00C5012E">
        <w:rPr>
          <w:szCs w:val="20"/>
          <w:lang w:val="sl-SI"/>
        </w:rPr>
        <w:t>black</w:t>
      </w:r>
      <w:proofErr w:type="spellEnd"/>
      <w:r w:rsidRPr="00C5012E">
        <w:rPr>
          <w:szCs w:val="20"/>
          <w:lang w:val="sl-SI"/>
        </w:rPr>
        <w:t xml:space="preserve"> </w:t>
      </w:r>
      <w:proofErr w:type="spellStart"/>
      <w:r w:rsidRPr="00C5012E">
        <w:rPr>
          <w:szCs w:val="20"/>
          <w:lang w:val="sl-SI"/>
        </w:rPr>
        <w:t>jack</w:t>
      </w:r>
      <w:proofErr w:type="spellEnd"/>
      <w:r w:rsidRPr="00C5012E">
        <w:rPr>
          <w:szCs w:val="20"/>
          <w:lang w:val="sl-SI"/>
        </w:rPr>
        <w:t xml:space="preserve">, punto </w:t>
      </w:r>
      <w:proofErr w:type="spellStart"/>
      <w:r w:rsidRPr="00C5012E">
        <w:rPr>
          <w:szCs w:val="20"/>
          <w:lang w:val="sl-SI"/>
        </w:rPr>
        <w:t>banco</w:t>
      </w:r>
      <w:proofErr w:type="spellEnd"/>
      <w:r w:rsidRPr="00C5012E">
        <w:rPr>
          <w:szCs w:val="20"/>
          <w:lang w:val="sl-SI"/>
        </w:rPr>
        <w:t xml:space="preserve">, mini punto, </w:t>
      </w:r>
      <w:proofErr w:type="spellStart"/>
      <w:r w:rsidRPr="00C5012E">
        <w:rPr>
          <w:szCs w:val="20"/>
          <w:lang w:val="sl-SI"/>
        </w:rPr>
        <w:t>carribean</w:t>
      </w:r>
      <w:proofErr w:type="spellEnd"/>
      <w:r w:rsidRPr="00C5012E">
        <w:rPr>
          <w:szCs w:val="20"/>
          <w:lang w:val="sl-SI"/>
        </w:rPr>
        <w:t xml:space="preserve"> poker, 30/40, red dog);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4. igre s kockami (</w:t>
      </w:r>
      <w:proofErr w:type="spellStart"/>
      <w:r w:rsidRPr="00C5012E">
        <w:rPr>
          <w:szCs w:val="20"/>
          <w:lang w:val="sl-SI"/>
        </w:rPr>
        <w:t>craps</w:t>
      </w:r>
      <w:proofErr w:type="spellEnd"/>
      <w:r w:rsidRPr="00C5012E">
        <w:rPr>
          <w:szCs w:val="20"/>
          <w:lang w:val="sl-SI"/>
        </w:rPr>
        <w:t xml:space="preserve">, </w:t>
      </w:r>
      <w:proofErr w:type="spellStart"/>
      <w:r w:rsidRPr="00C5012E">
        <w:rPr>
          <w:szCs w:val="20"/>
          <w:lang w:val="sl-SI"/>
        </w:rPr>
        <w:t>tai</w:t>
      </w:r>
      <w:proofErr w:type="spellEnd"/>
      <w:r w:rsidRPr="00C5012E">
        <w:rPr>
          <w:szCs w:val="20"/>
          <w:lang w:val="sl-SI"/>
        </w:rPr>
        <w:t xml:space="preserve"> </w:t>
      </w:r>
      <w:proofErr w:type="spellStart"/>
      <w:r w:rsidRPr="00C5012E">
        <w:rPr>
          <w:szCs w:val="20"/>
          <w:lang w:val="sl-SI"/>
        </w:rPr>
        <w:t>sai</w:t>
      </w:r>
      <w:proofErr w:type="spellEnd"/>
      <w:r w:rsidRPr="00C5012E">
        <w:rPr>
          <w:szCs w:val="20"/>
          <w:lang w:val="sl-SI"/>
        </w:rPr>
        <w:t xml:space="preserve">);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 xml:space="preserve">5. igre na igralnih panojih (bingo, keno, big </w:t>
      </w:r>
      <w:proofErr w:type="spellStart"/>
      <w:r w:rsidRPr="00C5012E">
        <w:rPr>
          <w:szCs w:val="20"/>
          <w:lang w:val="sl-SI"/>
        </w:rPr>
        <w:t>wheele</w:t>
      </w:r>
      <w:proofErr w:type="spellEnd"/>
      <w:r w:rsidRPr="00C5012E">
        <w:rPr>
          <w:szCs w:val="20"/>
          <w:lang w:val="sl-SI"/>
        </w:rPr>
        <w:t xml:space="preserve">, </w:t>
      </w:r>
      <w:proofErr w:type="spellStart"/>
      <w:r w:rsidRPr="00C5012E">
        <w:rPr>
          <w:szCs w:val="20"/>
          <w:lang w:val="sl-SI"/>
        </w:rPr>
        <w:t>toto</w:t>
      </w:r>
      <w:proofErr w:type="spellEnd"/>
      <w:r w:rsidRPr="00C5012E">
        <w:rPr>
          <w:szCs w:val="20"/>
          <w:lang w:val="sl-SI"/>
        </w:rPr>
        <w:t xml:space="preserve">);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 xml:space="preserve">6. igre na igralnih avtomatih, ki jih igralci igrajo proti igralnemu avtomatu;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 xml:space="preserve">7. stave. </w:t>
      </w: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  <w:r w:rsidRPr="00C5012E">
        <w:rPr>
          <w:szCs w:val="20"/>
          <w:lang w:val="sl-SI"/>
        </w:rPr>
        <w:t>Na podlagi citiranega člena ZIS o uvrstitvi novih iger v eno od vrst posebnih iger na srečo odloča minister, pristojen za finance, ki je po letu 1999 uvrstil naslednje igre:</w:t>
      </w: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p w:rsidR="00C5012E" w:rsidRPr="00C5012E" w:rsidRDefault="00C5012E" w:rsidP="00C5012E">
      <w:pPr>
        <w:suppressAutoHyphens/>
        <w:spacing w:line="288" w:lineRule="auto"/>
        <w:jc w:val="both"/>
        <w:rPr>
          <w:szCs w:val="20"/>
          <w:lang w:val="sl-S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72"/>
        <w:gridCol w:w="2119"/>
        <w:gridCol w:w="1267"/>
        <w:gridCol w:w="3265"/>
      </w:tblGrid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b/>
                <w:sz w:val="18"/>
                <w:szCs w:val="18"/>
                <w:lang w:val="sl-SI"/>
              </w:rPr>
              <w:t>Št.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b/>
                <w:sz w:val="18"/>
                <w:szCs w:val="18"/>
                <w:lang w:val="sl-SI"/>
              </w:rPr>
              <w:t>Ime igre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b/>
                <w:sz w:val="18"/>
                <w:szCs w:val="18"/>
                <w:lang w:val="sl-SI"/>
              </w:rPr>
              <w:t xml:space="preserve">Št. odločbe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b/>
                <w:sz w:val="18"/>
                <w:szCs w:val="18"/>
                <w:lang w:val="sl-SI"/>
              </w:rPr>
              <w:t>Datum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b/>
                <w:sz w:val="18"/>
                <w:szCs w:val="18"/>
                <w:lang w:val="sl-SI"/>
              </w:rPr>
              <w:t>Uvrstitev v 53. člen ZIS</w:t>
            </w:r>
          </w:p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Pai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Gow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Poker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472-00/99-1 (N)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21. 10. 1999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Let It Ride Poker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472-00/99-1 (N)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21. 10. 1999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Black Jack z izmenjavo kart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472-00/2001-1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19. 7. 2001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 xml:space="preserve">HIT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Draw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poker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472-00/2001-1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19. 7. 2001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5.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Park 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472-00/2001-1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19. 7. 2001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6.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 xml:space="preserve">Vojna –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War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471-76/02-TN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28. 5. 2002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7.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Texas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Hold´em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Bonus Poker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46110-16/2007/2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27. 3. 2007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8.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 xml:space="preserve">Spletni Black Jack, Spletna Evropska ruleta, Spletni Video Poker (npr.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Jacks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or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Better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), Spletne kolutne igre (npr.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Crazy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7,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Happy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Cherry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Fruit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Fever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Happy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Farm,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Jungle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Treasure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Ocean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Life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Pompei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Treasures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Search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For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Atlantis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Top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Speed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, Bonus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Buster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461-227/2008/1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11. 11. 2008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6.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9.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 xml:space="preserve">Ultimate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Texas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Hold´em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Poker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46110-47/2011/12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10. 11. 2011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10.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Racing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Card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Derby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46610-1/2013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19. 12. 2013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Midi Punto Banco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461-81/20114/4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6. 10. 2014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Chinese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Roulette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46112-1/2016/4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25. 7. 2016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Pulse Black Jack Live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46111-5/2016/4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25. 11. 2016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14.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Pulse Roulette Live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4611-7/2016/4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25. 11. 2016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15.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Pulse Punto Banco Live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46111-6/2016/4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25. 11. 2016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16.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Roulette 73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46110-2/2017/4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8. 5. 2017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2. točka drugega odstavka</w:t>
            </w:r>
          </w:p>
        </w:tc>
      </w:tr>
      <w:tr w:rsidR="00C5012E" w:rsidRPr="00C5012E" w:rsidTr="007107A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17.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 xml:space="preserve">No </w:t>
            </w:r>
            <w:proofErr w:type="spellStart"/>
            <w:r w:rsidRPr="00C5012E">
              <w:rPr>
                <w:rFonts w:cs="Arial"/>
                <w:sz w:val="18"/>
                <w:szCs w:val="18"/>
                <w:lang w:val="sl-SI"/>
              </w:rPr>
              <w:t>Commision</w:t>
            </w:r>
            <w:proofErr w:type="spellEnd"/>
            <w:r w:rsidRPr="00C5012E">
              <w:rPr>
                <w:rFonts w:cs="Arial"/>
                <w:sz w:val="18"/>
                <w:szCs w:val="18"/>
                <w:lang w:val="sl-SI"/>
              </w:rPr>
              <w:t xml:space="preserve"> Punto Banco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46112-1/2017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26. 7. 2017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2E" w:rsidRPr="00C5012E" w:rsidRDefault="00C5012E" w:rsidP="007107A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C5012E">
              <w:rPr>
                <w:rFonts w:cs="Arial"/>
                <w:sz w:val="18"/>
                <w:szCs w:val="18"/>
                <w:lang w:val="sl-SI"/>
              </w:rPr>
              <w:t>3. točka drugega odstavka</w:t>
            </w:r>
          </w:p>
        </w:tc>
      </w:tr>
    </w:tbl>
    <w:p w:rsidR="00C5012E" w:rsidRPr="00C5012E" w:rsidRDefault="00C5012E" w:rsidP="00C5012E">
      <w:pPr>
        <w:rPr>
          <w:lang w:val="sl-SI"/>
        </w:rPr>
      </w:pPr>
    </w:p>
    <w:p w:rsidR="00C5012E" w:rsidRPr="00C5012E" w:rsidRDefault="00C5012E" w:rsidP="003E1C74">
      <w:pPr>
        <w:pStyle w:val="podpisi"/>
        <w:rPr>
          <w:lang w:val="sl-SI"/>
        </w:rPr>
      </w:pPr>
    </w:p>
    <w:sectPr w:rsidR="00C5012E" w:rsidRPr="00C5012E" w:rsidSect="00F0025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57" w:rsidRDefault="00271D57">
      <w:pPr>
        <w:spacing w:line="240" w:lineRule="auto"/>
      </w:pPr>
      <w:r>
        <w:separator/>
      </w:r>
    </w:p>
  </w:endnote>
  <w:endnote w:type="continuationSeparator" w:id="0">
    <w:p w:rsidR="00271D57" w:rsidRDefault="00271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271D57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2038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2038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271D57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92038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92038A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57" w:rsidRDefault="00271D57">
      <w:pPr>
        <w:spacing w:line="240" w:lineRule="auto"/>
      </w:pPr>
      <w:r>
        <w:separator/>
      </w:r>
    </w:p>
  </w:footnote>
  <w:footnote w:type="continuationSeparator" w:id="0">
    <w:p w:rsidR="00271D57" w:rsidRDefault="00271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271D57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44B28">
      <w:trPr>
        <w:cantSplit/>
        <w:trHeight w:hRule="exact" w:val="847"/>
      </w:trPr>
      <w:tc>
        <w:tcPr>
          <w:tcW w:w="567" w:type="dxa"/>
        </w:tcPr>
        <w:p w:rsidR="000B0B21" w:rsidRDefault="00271D57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271D57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271D57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434514" wp14:editId="6843451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E045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B0B21" w:rsidRPr="00FD746A" w:rsidRDefault="00271D57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 xml:space="preserve">Ministrstvo </w:t>
    </w:r>
    <w:r w:rsidRPr="00FD746A">
      <w:rPr>
        <w:rFonts w:ascii="Republika" w:hAnsi="Republika"/>
        <w:b/>
        <w:caps/>
        <w:lang w:val="sl-SI"/>
      </w:rPr>
      <w:t>za finance</w:t>
    </w:r>
  </w:p>
  <w:p w:rsidR="00ED7E82" w:rsidRDefault="00271D57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>
      <w:rPr>
        <w:rFonts w:ascii="Republika" w:hAnsi="Republika"/>
        <w:caps/>
        <w:lang w:val="sl-SI"/>
      </w:rPr>
      <w:t xml:space="preserve"> uprava Republike Slovenije</w:t>
    </w:r>
  </w:p>
  <w:p w:rsidR="000B0B21" w:rsidRPr="008F3500" w:rsidRDefault="00271D57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 xml:space="preserve">01 478 </w:t>
    </w:r>
    <w:r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271D57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>
      <w:rPr>
        <w:rFonts w:cs="Arial"/>
        <w:sz w:val="16"/>
        <w:lang w:val="sl-SI"/>
      </w:rPr>
      <w:t>39</w:t>
    </w:r>
    <w:r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271D57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</w:t>
    </w:r>
    <w:r>
      <w:rPr>
        <w:rFonts w:cs="Arial"/>
        <w:sz w:val="16"/>
        <w:lang w:val="sl-SI"/>
      </w:rPr>
      <w:t>.</w:t>
    </w:r>
    <w:r>
      <w:rPr>
        <w:rFonts w:cs="Arial"/>
        <w:sz w:val="16"/>
        <w:lang w:val="sl-SI"/>
      </w:rPr>
      <w:t>fu</w:t>
    </w:r>
    <w:r>
      <w:rPr>
        <w:rFonts w:cs="Arial"/>
        <w:sz w:val="16"/>
        <w:lang w:val="sl-SI"/>
      </w:rPr>
      <w:t>@gov.si</w:t>
    </w:r>
  </w:p>
  <w:p w:rsidR="000B0B21" w:rsidRPr="008F3500" w:rsidRDefault="00271D57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>
      <w:rPr>
        <w:rFonts w:cs="Arial"/>
        <w:sz w:val="16"/>
        <w:lang w:val="sl-SI"/>
      </w:rPr>
      <w:t>fu</w:t>
    </w:r>
    <w:r>
      <w:rPr>
        <w:rFonts w:cs="Arial"/>
        <w:sz w:val="16"/>
        <w:lang w:val="sl-SI"/>
      </w:rPr>
      <w:t>.gov.si</w:t>
    </w:r>
  </w:p>
  <w:p w:rsidR="000B0B21" w:rsidRPr="008F3500" w:rsidRDefault="00271D57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3448F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F84468" w:tentative="1">
      <w:start w:val="1"/>
      <w:numFmt w:val="lowerLetter"/>
      <w:lvlText w:val="%2."/>
      <w:lvlJc w:val="left"/>
      <w:pPr>
        <w:ind w:left="1800" w:hanging="360"/>
      </w:pPr>
    </w:lvl>
    <w:lvl w:ilvl="2" w:tplc="B96C0616" w:tentative="1">
      <w:start w:val="1"/>
      <w:numFmt w:val="lowerRoman"/>
      <w:lvlText w:val="%3."/>
      <w:lvlJc w:val="right"/>
      <w:pPr>
        <w:ind w:left="2520" w:hanging="180"/>
      </w:pPr>
    </w:lvl>
    <w:lvl w:ilvl="3" w:tplc="B86816D6" w:tentative="1">
      <w:start w:val="1"/>
      <w:numFmt w:val="decimal"/>
      <w:lvlText w:val="%4."/>
      <w:lvlJc w:val="left"/>
      <w:pPr>
        <w:ind w:left="3240" w:hanging="360"/>
      </w:pPr>
    </w:lvl>
    <w:lvl w:ilvl="4" w:tplc="54A48CF2" w:tentative="1">
      <w:start w:val="1"/>
      <w:numFmt w:val="lowerLetter"/>
      <w:lvlText w:val="%5."/>
      <w:lvlJc w:val="left"/>
      <w:pPr>
        <w:ind w:left="3960" w:hanging="360"/>
      </w:pPr>
    </w:lvl>
    <w:lvl w:ilvl="5" w:tplc="AE94F0F8" w:tentative="1">
      <w:start w:val="1"/>
      <w:numFmt w:val="lowerRoman"/>
      <w:lvlText w:val="%6."/>
      <w:lvlJc w:val="right"/>
      <w:pPr>
        <w:ind w:left="4680" w:hanging="180"/>
      </w:pPr>
    </w:lvl>
    <w:lvl w:ilvl="6" w:tplc="04D81B22" w:tentative="1">
      <w:start w:val="1"/>
      <w:numFmt w:val="decimal"/>
      <w:lvlText w:val="%7."/>
      <w:lvlJc w:val="left"/>
      <w:pPr>
        <w:ind w:left="5400" w:hanging="360"/>
      </w:pPr>
    </w:lvl>
    <w:lvl w:ilvl="7" w:tplc="5F62C20E" w:tentative="1">
      <w:start w:val="1"/>
      <w:numFmt w:val="lowerLetter"/>
      <w:lvlText w:val="%8."/>
      <w:lvlJc w:val="left"/>
      <w:pPr>
        <w:ind w:left="6120" w:hanging="360"/>
      </w:pPr>
    </w:lvl>
    <w:lvl w:ilvl="8" w:tplc="473E9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396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6C17E8" w:tentative="1">
      <w:start w:val="1"/>
      <w:numFmt w:val="lowerLetter"/>
      <w:lvlText w:val="%2."/>
      <w:lvlJc w:val="left"/>
      <w:pPr>
        <w:ind w:left="1080" w:hanging="360"/>
      </w:pPr>
    </w:lvl>
    <w:lvl w:ilvl="2" w:tplc="756AEE1C" w:tentative="1">
      <w:start w:val="1"/>
      <w:numFmt w:val="lowerRoman"/>
      <w:lvlText w:val="%3."/>
      <w:lvlJc w:val="right"/>
      <w:pPr>
        <w:ind w:left="1800" w:hanging="180"/>
      </w:pPr>
    </w:lvl>
    <w:lvl w:ilvl="3" w:tplc="483A47DE" w:tentative="1">
      <w:start w:val="1"/>
      <w:numFmt w:val="decimal"/>
      <w:lvlText w:val="%4."/>
      <w:lvlJc w:val="left"/>
      <w:pPr>
        <w:ind w:left="2520" w:hanging="360"/>
      </w:pPr>
    </w:lvl>
    <w:lvl w:ilvl="4" w:tplc="639CD248" w:tentative="1">
      <w:start w:val="1"/>
      <w:numFmt w:val="lowerLetter"/>
      <w:lvlText w:val="%5."/>
      <w:lvlJc w:val="left"/>
      <w:pPr>
        <w:ind w:left="3240" w:hanging="360"/>
      </w:pPr>
    </w:lvl>
    <w:lvl w:ilvl="5" w:tplc="B8ECC1CA" w:tentative="1">
      <w:start w:val="1"/>
      <w:numFmt w:val="lowerRoman"/>
      <w:lvlText w:val="%6."/>
      <w:lvlJc w:val="right"/>
      <w:pPr>
        <w:ind w:left="3960" w:hanging="180"/>
      </w:pPr>
    </w:lvl>
    <w:lvl w:ilvl="6" w:tplc="D832B4BE" w:tentative="1">
      <w:start w:val="1"/>
      <w:numFmt w:val="decimal"/>
      <w:lvlText w:val="%7."/>
      <w:lvlJc w:val="left"/>
      <w:pPr>
        <w:ind w:left="4680" w:hanging="360"/>
      </w:pPr>
    </w:lvl>
    <w:lvl w:ilvl="7" w:tplc="93B04E44" w:tentative="1">
      <w:start w:val="1"/>
      <w:numFmt w:val="lowerLetter"/>
      <w:lvlText w:val="%8."/>
      <w:lvlJc w:val="left"/>
      <w:pPr>
        <w:ind w:left="5400" w:hanging="360"/>
      </w:pPr>
    </w:lvl>
    <w:lvl w:ilvl="8" w:tplc="0DDE59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3CCF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AF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6F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6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E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0F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2A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D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76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A8AE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2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AF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4C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9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E7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A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6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A8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8"/>
    <w:rsid w:val="00271D57"/>
    <w:rsid w:val="00444B28"/>
    <w:rsid w:val="0092038A"/>
    <w:rsid w:val="00952C75"/>
    <w:rsid w:val="00C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344D3"/>
  <w15:docId w15:val="{9E7693BB-53A1-4A0D-888A-4E17A748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C50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0A28-E95D-4659-AD8B-16EDB10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Tomaž Deželak</cp:lastModifiedBy>
  <cp:revision>2</cp:revision>
  <cp:lastPrinted>2010-07-05T10:38:00Z</cp:lastPrinted>
  <dcterms:created xsi:type="dcterms:W3CDTF">2017-08-04T07:48:00Z</dcterms:created>
  <dcterms:modified xsi:type="dcterms:W3CDTF">2017-08-04T07:48:00Z</dcterms:modified>
</cp:coreProperties>
</file>