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FF95" w14:textId="77777777" w:rsidR="00EF63CC" w:rsidRPr="00F76CAA" w:rsidRDefault="00EF63CC" w:rsidP="00DC6A71">
      <w:pPr>
        <w:pStyle w:val="datumtevilka"/>
        <w:rPr>
          <w:b/>
          <w:noProof/>
        </w:rPr>
      </w:pPr>
    </w:p>
    <w:p w14:paraId="5410D05E" w14:textId="77777777" w:rsidR="006268BE" w:rsidRDefault="006268BE" w:rsidP="00DC6A71">
      <w:pPr>
        <w:pStyle w:val="datumtevilka"/>
        <w:rPr>
          <w:b/>
          <w:noProof/>
        </w:rPr>
      </w:pPr>
    </w:p>
    <w:p w14:paraId="24168CCD" w14:textId="77777777" w:rsidR="00734FFA" w:rsidRPr="00F76CAA" w:rsidRDefault="00734FFA" w:rsidP="00DC6A71">
      <w:pPr>
        <w:pStyle w:val="datumtevilka"/>
        <w:rPr>
          <w:b/>
          <w:noProof/>
        </w:rPr>
      </w:pPr>
    </w:p>
    <w:p w14:paraId="1BA24238" w14:textId="38D1DDE0" w:rsidR="00F639BB" w:rsidRPr="00F76CAA" w:rsidRDefault="00F639BB" w:rsidP="00F639BB">
      <w:pPr>
        <w:pStyle w:val="ZADEVA"/>
        <w:tabs>
          <w:tab w:val="clear" w:pos="1701"/>
          <w:tab w:val="left" w:pos="0"/>
        </w:tabs>
        <w:ind w:left="0"/>
        <w:rPr>
          <w:noProof/>
          <w:lang w:val="sl-SI"/>
        </w:rPr>
      </w:pPr>
      <w:bookmarkStart w:id="0" w:name="OpisDokumenta"/>
      <w:r>
        <w:rPr>
          <w:noProof/>
          <w:lang w:val="sl-SI"/>
        </w:rPr>
        <w:t>D</w:t>
      </w:r>
      <w:r w:rsidRPr="00F76CAA">
        <w:rPr>
          <w:noProof/>
          <w:lang w:val="sl-SI"/>
        </w:rPr>
        <w:t>avčn</w:t>
      </w:r>
      <w:r>
        <w:rPr>
          <w:noProof/>
          <w:lang w:val="sl-SI"/>
        </w:rPr>
        <w:t xml:space="preserve">a </w:t>
      </w:r>
      <w:r w:rsidRPr="00F76CAA">
        <w:rPr>
          <w:noProof/>
          <w:lang w:val="sl-SI"/>
        </w:rPr>
        <w:t>obravnav</w:t>
      </w:r>
      <w:r>
        <w:rPr>
          <w:noProof/>
          <w:lang w:val="sl-SI"/>
        </w:rPr>
        <w:t>a</w:t>
      </w:r>
      <w:r w:rsidRPr="00F76CAA">
        <w:rPr>
          <w:noProof/>
          <w:lang w:val="sl-SI"/>
        </w:rPr>
        <w:t xml:space="preserve"> prihodkov od prodaje nepremičnine, ki se je uporabljala za opravljanje </w:t>
      </w:r>
      <w:r>
        <w:rPr>
          <w:noProof/>
          <w:lang w:val="sl-SI"/>
        </w:rPr>
        <w:t>n</w:t>
      </w:r>
      <w:r w:rsidRPr="00F76CAA">
        <w:rPr>
          <w:noProof/>
          <w:lang w:val="sl-SI"/>
        </w:rPr>
        <w:t>epridobitne dejavnosti</w:t>
      </w:r>
      <w:bookmarkEnd w:id="0"/>
    </w:p>
    <w:p w14:paraId="10246878" w14:textId="77777777" w:rsidR="000E7875" w:rsidRPr="00F76CAA" w:rsidRDefault="000E7875" w:rsidP="00DC6A71">
      <w:pPr>
        <w:pStyle w:val="datumtevilka"/>
        <w:rPr>
          <w:b/>
          <w:noProof/>
        </w:rPr>
      </w:pPr>
    </w:p>
    <w:p w14:paraId="2C1BF637" w14:textId="130DB167" w:rsidR="007D75CF" w:rsidRPr="00F76CAA" w:rsidRDefault="00F639BB" w:rsidP="00DC6A71">
      <w:pPr>
        <w:pStyle w:val="datumtevilka"/>
        <w:rPr>
          <w:noProof/>
        </w:rPr>
      </w:pPr>
      <w:r>
        <w:rPr>
          <w:noProof/>
        </w:rPr>
        <w:t>Pojasnilo FURS, št.</w:t>
      </w:r>
      <w:bookmarkStart w:id="1" w:name="Klasifikacija"/>
      <w:r>
        <w:rPr>
          <w:noProof/>
        </w:rPr>
        <w:t xml:space="preserve"> </w:t>
      </w:r>
      <w:r w:rsidR="008078F7" w:rsidRPr="00F76CAA">
        <w:rPr>
          <w:noProof/>
        </w:rPr>
        <w:t>0920-8069/2024-8</w:t>
      </w:r>
      <w:bookmarkEnd w:id="1"/>
      <w:r>
        <w:rPr>
          <w:noProof/>
        </w:rPr>
        <w:t xml:space="preserve"> z dne </w:t>
      </w:r>
      <w:bookmarkStart w:id="2" w:name="DatumDokumenta"/>
      <w:r w:rsidR="008078F7" w:rsidRPr="00F76CAA">
        <w:rPr>
          <w:noProof/>
        </w:rPr>
        <w:t>6. 9. 2024</w:t>
      </w:r>
      <w:bookmarkEnd w:id="2"/>
    </w:p>
    <w:p w14:paraId="47C17359" w14:textId="77777777" w:rsidR="007D75CF" w:rsidRDefault="007D75CF" w:rsidP="007D75CF">
      <w:pPr>
        <w:rPr>
          <w:noProof/>
          <w:lang w:val="sl-SI"/>
        </w:rPr>
      </w:pPr>
    </w:p>
    <w:p w14:paraId="6372EF3A" w14:textId="77777777" w:rsidR="00734FFA" w:rsidRPr="00F76CAA" w:rsidRDefault="00734FFA" w:rsidP="007D75CF">
      <w:pPr>
        <w:rPr>
          <w:noProof/>
          <w:lang w:val="sl-SI"/>
        </w:rPr>
      </w:pPr>
    </w:p>
    <w:p w14:paraId="043139F8" w14:textId="77777777" w:rsidR="007D75CF" w:rsidRPr="00F76CAA" w:rsidRDefault="007D75CF" w:rsidP="007D75CF">
      <w:pPr>
        <w:rPr>
          <w:noProof/>
          <w:lang w:val="sl-SI"/>
        </w:rPr>
      </w:pPr>
    </w:p>
    <w:p w14:paraId="6F89A081" w14:textId="77777777" w:rsidR="00382202" w:rsidRPr="00F76CAA" w:rsidRDefault="00000000" w:rsidP="00382202">
      <w:pPr>
        <w:jc w:val="both"/>
        <w:rPr>
          <w:noProof/>
          <w:lang w:val="sl-SI"/>
        </w:rPr>
      </w:pPr>
      <w:r w:rsidRPr="00F76CAA">
        <w:rPr>
          <w:noProof/>
          <w:lang w:val="sl-SI"/>
        </w:rPr>
        <w:t xml:space="preserve">Na Finančno upravo Republike Slovenije, Generalni finančni urad ste naslovili prošnjo za pojasnilo glede davčne obravnave prihodkov, ustvarjenih pri prodaji nepremičnine, ki jo je zavezanec uporabljal pri opravljanju nepridobitne dejavnosti. </w:t>
      </w:r>
    </w:p>
    <w:p w14:paraId="0DDF64A9" w14:textId="77777777" w:rsidR="00382202" w:rsidRPr="00F76CAA" w:rsidRDefault="00382202" w:rsidP="00382202">
      <w:pPr>
        <w:jc w:val="both"/>
        <w:rPr>
          <w:noProof/>
          <w:lang w:val="sl-SI"/>
        </w:rPr>
      </w:pPr>
    </w:p>
    <w:p w14:paraId="4E255B2B" w14:textId="77777777" w:rsidR="00382202" w:rsidRPr="00F76CAA" w:rsidRDefault="00000000" w:rsidP="00382202">
      <w:pPr>
        <w:jc w:val="both"/>
        <w:rPr>
          <w:noProof/>
          <w:lang w:val="sl-SI"/>
        </w:rPr>
      </w:pPr>
      <w:r w:rsidRPr="00F76CAA">
        <w:rPr>
          <w:noProof/>
          <w:lang w:val="sl-SI"/>
        </w:rPr>
        <w:t xml:space="preserve">Navajate, da je zavezanec prostovoljno gasilsko društvo, ki pretežno opravlja nepridobitno dejavnost, le deloma (v povprečju 20% letno) pa tudi pridobitno dejavnost in je zavezanec za davek od dohodkov pravnih oseb iz 9. člena Zakona o davku od dohodkov pravnih oseb (ZDDPO-2).  Zavezanec je prodal nepremičnino, ki je bila v funkciji gasilskega doma in se je uporabljala izključno za opravljanje nepridobitne dejavnosti. Kupnina od prodane nepremičnine je bila v celoti namenjena za izgradnjo novega gasilskega doma. </w:t>
      </w:r>
    </w:p>
    <w:p w14:paraId="0A276E2B" w14:textId="77777777" w:rsidR="00382202" w:rsidRPr="00F76CAA" w:rsidRDefault="00382202" w:rsidP="00382202">
      <w:pPr>
        <w:jc w:val="both"/>
        <w:rPr>
          <w:noProof/>
          <w:lang w:val="sl-SI"/>
        </w:rPr>
      </w:pPr>
    </w:p>
    <w:p w14:paraId="25BA3087" w14:textId="77777777" w:rsidR="00382202" w:rsidRPr="00F76CAA" w:rsidRDefault="00000000" w:rsidP="00382202">
      <w:pPr>
        <w:jc w:val="both"/>
        <w:rPr>
          <w:noProof/>
          <w:lang w:val="sl-SI"/>
        </w:rPr>
      </w:pPr>
      <w:r w:rsidRPr="00F76CAA">
        <w:rPr>
          <w:noProof/>
          <w:lang w:val="sl-SI"/>
        </w:rPr>
        <w:t xml:space="preserve">V obračunih davka od dohodkov pravnih oseb v preteklih letih se je del stroška amortizacije omenjene nepremičnine všteval med davčno priznane odhodke (v povprečju 20% letnega zneska amortizacije, kolikor je znašal delež odhodkov pridobitne dejavnosti v celotnih odhodkih, določen na podlagi deleža prihodkov pridobitne dejavnosti v celotnih prihodkih društva). </w:t>
      </w:r>
    </w:p>
    <w:p w14:paraId="72E47AC4" w14:textId="77777777" w:rsidR="00382202" w:rsidRPr="00F76CAA" w:rsidRDefault="00382202" w:rsidP="00382202">
      <w:pPr>
        <w:jc w:val="both"/>
        <w:rPr>
          <w:noProof/>
          <w:lang w:val="sl-SI"/>
        </w:rPr>
      </w:pPr>
    </w:p>
    <w:p w14:paraId="4246953C" w14:textId="77777777" w:rsidR="00382202" w:rsidRPr="00F76CAA" w:rsidRDefault="00000000" w:rsidP="00382202">
      <w:pPr>
        <w:jc w:val="both"/>
        <w:rPr>
          <w:noProof/>
          <w:lang w:val="sl-SI"/>
        </w:rPr>
      </w:pPr>
      <w:r w:rsidRPr="00F76CAA">
        <w:rPr>
          <w:noProof/>
          <w:lang w:val="sl-SI"/>
        </w:rPr>
        <w:t xml:space="preserve">Seznanjeni ste, da se skladno s 27. členom Zakona o davku od dohodkov pravnih oseb (ZDDPO-2) pri ugotavljanju davčne osnove DDPO prihodki od opravljanja dejavnosti, ki ni pridobitna, izvzamejo iz davčne osnove, prav tako pa tudi z vsebino 4. člena Pravilnika o opredelitvi pridobitne in nepridobitne dejavnosti, ki določa, da se za pridobitne dohodke med drugim štejejo tudi dohodki, doseženi z odsvojitvijo osnovnih sredstev. </w:t>
      </w:r>
    </w:p>
    <w:p w14:paraId="28D7E528" w14:textId="77777777" w:rsidR="00382202" w:rsidRPr="00F76CAA" w:rsidRDefault="00382202" w:rsidP="00382202">
      <w:pPr>
        <w:jc w:val="both"/>
        <w:rPr>
          <w:noProof/>
          <w:lang w:val="sl-SI"/>
        </w:rPr>
      </w:pPr>
    </w:p>
    <w:p w14:paraId="7D7EF882" w14:textId="77777777" w:rsidR="00382202" w:rsidRPr="00F76CAA" w:rsidRDefault="00000000" w:rsidP="00382202">
      <w:pPr>
        <w:jc w:val="both"/>
        <w:rPr>
          <w:noProof/>
          <w:lang w:val="sl-SI"/>
        </w:rPr>
      </w:pPr>
      <w:r w:rsidRPr="00F76CAA">
        <w:rPr>
          <w:noProof/>
          <w:lang w:val="sl-SI"/>
        </w:rPr>
        <w:t xml:space="preserve">Ob tem pa opozarjate na vsebino 50. člena Zakona o gasilstvu, ki določa, da se od gasilske zaščitne in reševalne opreme ter od orodišč in gasilskih domov ne plačujejo davki, razen davka na dodano vrednost, carin, prispevkov in drugih dajatev, in da vlada podrobneje določi gasilsko zaščitno in reševalno opremo, orodišča in gasilske domove. </w:t>
      </w:r>
    </w:p>
    <w:p w14:paraId="0B109049" w14:textId="77777777" w:rsidR="00382202" w:rsidRPr="00F76CAA" w:rsidRDefault="00382202" w:rsidP="00382202">
      <w:pPr>
        <w:jc w:val="both"/>
        <w:rPr>
          <w:noProof/>
          <w:lang w:val="sl-SI"/>
        </w:rPr>
      </w:pPr>
    </w:p>
    <w:p w14:paraId="157BFA24" w14:textId="77777777" w:rsidR="00382202" w:rsidRPr="00F76CAA" w:rsidRDefault="00000000" w:rsidP="00382202">
      <w:pPr>
        <w:jc w:val="both"/>
        <w:rPr>
          <w:noProof/>
          <w:lang w:val="sl-SI"/>
        </w:rPr>
      </w:pPr>
      <w:r w:rsidRPr="00F76CAA">
        <w:rPr>
          <w:noProof/>
          <w:lang w:val="sl-SI"/>
        </w:rPr>
        <w:t>Na podlagi vsega navedenega menite, da se prihodki od prodaje nepremičnine, ki se je uporabljala izključno za opravljanje nepridobitne dejavnosti, kot gasilski dom, ne vštevajo v davčno osnovo DDPO.</w:t>
      </w:r>
    </w:p>
    <w:p w14:paraId="503804B4" w14:textId="77777777" w:rsidR="00382202" w:rsidRPr="00F76CAA" w:rsidRDefault="00382202" w:rsidP="00382202">
      <w:pPr>
        <w:jc w:val="both"/>
        <w:rPr>
          <w:noProof/>
          <w:lang w:val="sl-SI"/>
        </w:rPr>
      </w:pPr>
    </w:p>
    <w:p w14:paraId="10194E20" w14:textId="77777777" w:rsidR="00382202" w:rsidRPr="00F76CAA" w:rsidRDefault="00000000" w:rsidP="00382202">
      <w:pPr>
        <w:jc w:val="both"/>
        <w:rPr>
          <w:rFonts w:eastAsia="Arial"/>
          <w:noProof/>
          <w:lang w:val="sl-SI"/>
        </w:rPr>
      </w:pPr>
      <w:r w:rsidRPr="00F76CAA">
        <w:rPr>
          <w:noProof/>
          <w:lang w:val="sl-SI"/>
        </w:rPr>
        <w:t xml:space="preserve">Davčni organ je v pojasnilu št. 0920-8069/2024-2 z dne 24.5.2024 že pojasnil, da se prihodki od odsvojitve osnovnih sredstev, ki se izkažejo v skladu z računovodskimi standardi, izvirno upoštevajo tudi pri ugotavljanju davčne osnove v davčnem obračunu zavezanca iz 9. člena ZDDPO-2, in sicer v skladu s splošnim določilom tretjega odst. 12. člena zakona, ki določa, da </w:t>
      </w:r>
      <w:r w:rsidRPr="00F76CAA">
        <w:rPr>
          <w:rFonts w:eastAsia="Arial"/>
          <w:noProof/>
          <w:lang w:val="sl-SI"/>
        </w:rPr>
        <w:t xml:space="preserve">se za ugotavljanje dobička priznajo prihodki in odhodki, ugotovljeni v izkazu poslovnega izida oziroma letnem poročilu, ki ustreza izkazu poslovnega izida in prikazuje prihodke, odhodke in poslovni izid, na podlagi zakona in v skladu z njim uvedenimi računovodskimi standardi. </w:t>
      </w:r>
    </w:p>
    <w:p w14:paraId="35D6E835" w14:textId="77777777" w:rsidR="00382202" w:rsidRPr="00F76CAA" w:rsidRDefault="00382202" w:rsidP="00382202">
      <w:pPr>
        <w:jc w:val="both"/>
        <w:rPr>
          <w:rFonts w:eastAsia="Arial"/>
          <w:noProof/>
          <w:lang w:val="sl-SI"/>
        </w:rPr>
      </w:pPr>
    </w:p>
    <w:p w14:paraId="10971724" w14:textId="77777777" w:rsidR="00382202" w:rsidRPr="00F76CAA" w:rsidRDefault="00000000" w:rsidP="00382202">
      <w:pPr>
        <w:jc w:val="both"/>
        <w:rPr>
          <w:rFonts w:eastAsia="Arial"/>
          <w:noProof/>
          <w:lang w:val="sl-SI"/>
        </w:rPr>
      </w:pPr>
      <w:r w:rsidRPr="00F76CAA">
        <w:rPr>
          <w:rFonts w:eastAsia="Arial"/>
          <w:noProof/>
          <w:lang w:val="sl-SI"/>
        </w:rPr>
        <w:t xml:space="preserve">ZDDPO-2 v 27. členu sicer določa, da se pri določanju davčne osnove zavezanca iz 9. člena tega zakona prihodki iz opravljanja dejavnosti, ki ni pridobitna, ter dejanski ali sorazmerni stroški te dejavnosti izvzemajo iz davčne osnove. Ob tem pa je potrebno upoštevati 4. člen Pravilnika o opredelitvi pridobitne in nepridobitne dejavnosti, ki določa, da se dohodki, doseženi z odsvojitvijo osnovnih sredstev, štejejo za pridobitne prihodke.  </w:t>
      </w:r>
    </w:p>
    <w:p w14:paraId="0F5F8A69" w14:textId="77777777" w:rsidR="00382202" w:rsidRPr="00F76CAA" w:rsidRDefault="00382202" w:rsidP="00382202">
      <w:pPr>
        <w:jc w:val="both"/>
        <w:rPr>
          <w:rFonts w:eastAsia="Arial"/>
          <w:noProof/>
          <w:lang w:val="sl-SI"/>
        </w:rPr>
      </w:pPr>
    </w:p>
    <w:p w14:paraId="5F4D98D0" w14:textId="77777777" w:rsidR="00382202" w:rsidRPr="00F76CAA" w:rsidRDefault="00000000" w:rsidP="00382202">
      <w:pPr>
        <w:jc w:val="both"/>
        <w:rPr>
          <w:rFonts w:eastAsia="Arial"/>
          <w:noProof/>
          <w:lang w:val="sl-SI"/>
        </w:rPr>
      </w:pPr>
      <w:r w:rsidRPr="00F76CAA">
        <w:rPr>
          <w:rFonts w:eastAsia="Arial"/>
          <w:noProof/>
          <w:lang w:val="sl-SI"/>
        </w:rPr>
        <w:t xml:space="preserve">Na omenjeno pojasnilo davčnega organa ste podali pripombe, v katerih ste ponovno izpostavili določbo 50. člena Zakona o gasilstvu (davki, carine, prispevki in druge dajatve) in poudarili, da navedeno določbo razumete kot izrecno oprostitev plačila davka pri prodaji gasilskega doma ter da davčni organ prosite za stališče v zvezi s to določbo. Navedli ste tudi, da se ne strinjate s stališčem davčnega organa, da se prihodki in odhodki od odsvojitve osnovnih sredstev, ki se izkažejo v skladu s Slovenskimi računovodskimi standardi, izvirno upoštevajo tudi pri ugotavljanju davčne osnove v davčnem obračunu in se tudi pri društvu, ki je zavezanec iz 9. člena ZDDPO-2, štejejo za pridobitne prihodke in se ne izvzamejo iz davčne osnove. </w:t>
      </w:r>
    </w:p>
    <w:p w14:paraId="3EEC4605" w14:textId="77777777" w:rsidR="007A6E4C" w:rsidRPr="00F76CAA" w:rsidRDefault="007A6E4C" w:rsidP="00382202">
      <w:pPr>
        <w:jc w:val="both"/>
        <w:rPr>
          <w:rFonts w:eastAsia="Arial"/>
          <w:noProof/>
          <w:lang w:val="sl-SI"/>
        </w:rPr>
      </w:pPr>
    </w:p>
    <w:p w14:paraId="0946FB39" w14:textId="77777777" w:rsidR="00382202" w:rsidRPr="00F76CAA" w:rsidRDefault="00000000" w:rsidP="00382202">
      <w:pPr>
        <w:jc w:val="both"/>
        <w:rPr>
          <w:rFonts w:eastAsia="Arial"/>
          <w:noProof/>
          <w:lang w:val="sl-SI"/>
        </w:rPr>
      </w:pPr>
      <w:r w:rsidRPr="00F76CAA">
        <w:rPr>
          <w:rFonts w:eastAsia="Arial"/>
          <w:noProof/>
          <w:lang w:val="sl-SI"/>
        </w:rPr>
        <w:t xml:space="preserve">Navedli ste tudi, da je zavezanec za poslovne namene obračunaval amortizacijo v skladu s SRS po amortizacijski stopnji, ki ustreza dobi koristnosti, ker pa je v večini opravljal nepridobitno dejavnost, je bil tudi sorazmerni (večinski) del stroškov, vključno s stroškom amortizacije izvzet iz določanja davčne osnove. Po vašem mnenju je potrebno dejstvo, da v dosedanjih davčnih obračunih obračunani strošek amortizacije ni bil v celoti davčno priznan, upoštevati pri izračunu višine prihodkov od prodaje nepremičnine, ki povečujejo davčno osnovo zavezanca.    </w:t>
      </w:r>
    </w:p>
    <w:p w14:paraId="03205F2D" w14:textId="77777777" w:rsidR="00382202" w:rsidRPr="00F76CAA" w:rsidRDefault="00382202" w:rsidP="00382202">
      <w:pPr>
        <w:jc w:val="both"/>
        <w:rPr>
          <w:rFonts w:eastAsia="Arial"/>
          <w:noProof/>
          <w:lang w:val="sl-SI"/>
        </w:rPr>
      </w:pPr>
    </w:p>
    <w:p w14:paraId="0BEFEDEF" w14:textId="77777777" w:rsidR="007A6E4C" w:rsidRPr="00F76CAA" w:rsidRDefault="007A6E4C" w:rsidP="00382202">
      <w:pPr>
        <w:jc w:val="both"/>
        <w:rPr>
          <w:rFonts w:eastAsia="Arial"/>
          <w:b/>
          <w:bCs/>
          <w:noProof/>
          <w:lang w:val="sl-SI"/>
        </w:rPr>
      </w:pPr>
    </w:p>
    <w:p w14:paraId="0E87A03A" w14:textId="77777777" w:rsidR="00382202" w:rsidRPr="00F76CAA" w:rsidRDefault="00000000" w:rsidP="00382202">
      <w:pPr>
        <w:jc w:val="both"/>
        <w:rPr>
          <w:rFonts w:eastAsia="Arial"/>
          <w:noProof/>
          <w:lang w:val="sl-SI"/>
        </w:rPr>
      </w:pPr>
      <w:r w:rsidRPr="00F76CAA">
        <w:rPr>
          <w:rFonts w:eastAsia="Arial"/>
          <w:b/>
          <w:bCs/>
          <w:noProof/>
          <w:lang w:val="sl-SI"/>
        </w:rPr>
        <w:t>Pojasnilo</w:t>
      </w:r>
      <w:r w:rsidRPr="00F76CAA">
        <w:rPr>
          <w:rFonts w:eastAsia="Arial"/>
          <w:noProof/>
          <w:lang w:val="sl-SI"/>
        </w:rPr>
        <w:t>:</w:t>
      </w:r>
    </w:p>
    <w:p w14:paraId="041A9699" w14:textId="77777777" w:rsidR="00382202" w:rsidRPr="00F76CAA" w:rsidRDefault="00382202" w:rsidP="00382202">
      <w:pPr>
        <w:jc w:val="both"/>
        <w:rPr>
          <w:rFonts w:eastAsia="Arial"/>
          <w:noProof/>
          <w:lang w:val="sl-SI"/>
        </w:rPr>
      </w:pPr>
    </w:p>
    <w:p w14:paraId="0B102565" w14:textId="77777777" w:rsidR="00382202" w:rsidRPr="00F76CAA" w:rsidRDefault="00000000" w:rsidP="00382202">
      <w:pPr>
        <w:jc w:val="both"/>
        <w:rPr>
          <w:rFonts w:eastAsia="Arial"/>
          <w:noProof/>
          <w:lang w:val="sl-SI"/>
        </w:rPr>
      </w:pPr>
      <w:r w:rsidRPr="00F76CAA">
        <w:rPr>
          <w:rFonts w:eastAsia="Arial"/>
          <w:noProof/>
          <w:lang w:val="sl-SI"/>
        </w:rPr>
        <w:t xml:space="preserve">Uvodoma pojasnjujemo, da je Zakon o gasilstvu v pristojnosti Ministrstva za obrambo in da določba 50. člena ni bila konkretizirana z aktom vlade, navedenim v drugem odst. istega člena zakona, zato lahko davčni organ o davčni obravnavi prihodkov zavezanca, povezanih s prodajo nepremičnine, ki je bila v funkciji gasilskega doma in je služila opravljanju nepridobitne dejavnosti, lahko presoja le na podlagi veljavnih davčnih predpisov. Mednje sodita tudi Zakon o davku od dohodkov pravnih oseb in na njegovi podlagi sprejet Pravilnik o opredelitvi pridobitne in nepridobitne dejavnosti, ki v 4. členu povsem nedvoumno določa, da se dohodki, doseženi z odsvojitvijo osnovnih sredstev, štejejo za pridobitne prihodke. To velja tudi za prihodke, ki jih z odsvojitvijo osnovnega sredstva (v konkretnem primeru nepremičnine) doseže društvo, ki opravlja nepridobitno dejavnost s področja gasilske dejavnosti. Okoliščina, da se je konkretno osnovno sredstvo uporabljalo izključno za opravljanje nepridobitne dejavnosti, ne vpliva na uporabo omenjenega pravila.  </w:t>
      </w:r>
    </w:p>
    <w:p w14:paraId="05773932" w14:textId="77777777" w:rsidR="00382202" w:rsidRPr="00F76CAA" w:rsidRDefault="00382202" w:rsidP="00382202">
      <w:pPr>
        <w:jc w:val="both"/>
        <w:rPr>
          <w:rFonts w:eastAsia="Arial"/>
          <w:noProof/>
          <w:lang w:val="sl-SI"/>
        </w:rPr>
      </w:pPr>
    </w:p>
    <w:p w14:paraId="49D9F669" w14:textId="77777777" w:rsidR="007A6E4C" w:rsidRPr="00F76CAA" w:rsidRDefault="00000000" w:rsidP="00382202">
      <w:pPr>
        <w:jc w:val="both"/>
        <w:rPr>
          <w:rFonts w:eastAsia="Arial"/>
          <w:noProof/>
          <w:lang w:val="sl-SI"/>
        </w:rPr>
      </w:pPr>
      <w:r>
        <w:rPr>
          <w:rFonts w:eastAsia="Arial"/>
          <w:noProof/>
          <w:lang w:val="sl-SI"/>
        </w:rPr>
        <w:t>D</w:t>
      </w:r>
      <w:r w:rsidRPr="00F76CAA">
        <w:rPr>
          <w:rFonts w:eastAsia="Arial"/>
          <w:noProof/>
          <w:lang w:val="sl-SI"/>
        </w:rPr>
        <w:t>avčni organ</w:t>
      </w:r>
      <w:r>
        <w:rPr>
          <w:rFonts w:eastAsia="Arial"/>
          <w:noProof/>
          <w:lang w:val="sl-SI"/>
        </w:rPr>
        <w:t xml:space="preserve"> se</w:t>
      </w:r>
      <w:r w:rsidRPr="00F76CAA">
        <w:rPr>
          <w:rFonts w:eastAsia="Arial"/>
          <w:noProof/>
          <w:lang w:val="sl-SI"/>
        </w:rPr>
        <w:t xml:space="preserve"> strinja z vašo pripombo, da je le del stroškov amortizacije</w:t>
      </w:r>
      <w:r>
        <w:rPr>
          <w:rFonts w:eastAsia="Arial"/>
          <w:noProof/>
          <w:lang w:val="sl-SI"/>
        </w:rPr>
        <w:t xml:space="preserve"> zniževal davčno osnovo za </w:t>
      </w:r>
      <w:r w:rsidRPr="00F76CAA">
        <w:rPr>
          <w:rFonts w:eastAsia="Arial"/>
          <w:noProof/>
          <w:lang w:val="sl-SI"/>
        </w:rPr>
        <w:t>DDPO</w:t>
      </w:r>
      <w:r>
        <w:rPr>
          <w:rFonts w:eastAsia="Arial"/>
          <w:noProof/>
          <w:lang w:val="sl-SI"/>
        </w:rPr>
        <w:t xml:space="preserve">, del pa je bil izvzet kot odhodek iz nepridobitne dejavnosti, kar dejansko pomeni, da je bil davčno nepriznan. </w:t>
      </w:r>
      <w:r w:rsidRPr="00F76CAA">
        <w:rPr>
          <w:rFonts w:eastAsia="Arial"/>
          <w:noProof/>
          <w:lang w:val="sl-SI"/>
        </w:rPr>
        <w:t xml:space="preserve">Posledično del prihodkov, ki predstavljajo razliko med prodajno vrednostjo nepremičnine in njeno knjigovodsko oziroma neodpisano vrednostjo ob prodaji, izvira iz odhodkov, ki predhodno niso bili davčno priznani, </w:t>
      </w:r>
      <w:r>
        <w:rPr>
          <w:rFonts w:eastAsia="Arial"/>
          <w:noProof/>
          <w:lang w:val="sl-SI"/>
        </w:rPr>
        <w:t xml:space="preserve">to je </w:t>
      </w:r>
      <w:r w:rsidRPr="00F76CAA">
        <w:rPr>
          <w:rFonts w:eastAsia="Arial"/>
          <w:noProof/>
          <w:lang w:val="sl-SI"/>
        </w:rPr>
        <w:t xml:space="preserve">v višini </w:t>
      </w:r>
      <w:r>
        <w:rPr>
          <w:rFonts w:eastAsia="Arial"/>
          <w:noProof/>
          <w:lang w:val="sl-SI"/>
        </w:rPr>
        <w:t xml:space="preserve">stroškov </w:t>
      </w:r>
      <w:r w:rsidRPr="00F76CAA">
        <w:rPr>
          <w:rFonts w:eastAsia="Arial"/>
          <w:noProof/>
          <w:lang w:val="sl-SI"/>
        </w:rPr>
        <w:t>amortizacije obravnavane nepremičnine, ki so bili izvzeti iz davčne osnove</w:t>
      </w:r>
      <w:r>
        <w:rPr>
          <w:rStyle w:val="Sprotnaopomba-sklic"/>
          <w:rFonts w:eastAsia="Arial"/>
          <w:noProof/>
          <w:lang w:val="sl-SI"/>
        </w:rPr>
        <w:footnoteReference w:id="1"/>
      </w:r>
      <w:r w:rsidRPr="00F76CAA">
        <w:rPr>
          <w:rFonts w:eastAsia="Arial"/>
          <w:noProof/>
          <w:lang w:val="sl-SI"/>
        </w:rPr>
        <w:t xml:space="preserve"> na podlagi 27. člena ZDDPO-2</w:t>
      </w:r>
      <w:r>
        <w:rPr>
          <w:rStyle w:val="Sprotnaopomba-sklic"/>
          <w:rFonts w:eastAsia="Arial"/>
          <w:noProof/>
          <w:lang w:val="sl-SI"/>
        </w:rPr>
        <w:footnoteReference w:id="2"/>
      </w:r>
      <w:r w:rsidRPr="00F76CAA">
        <w:rPr>
          <w:rFonts w:eastAsia="Arial"/>
          <w:noProof/>
          <w:lang w:val="sl-SI"/>
        </w:rPr>
        <w:t xml:space="preserve">. </w:t>
      </w:r>
    </w:p>
    <w:p w14:paraId="49CF0807" w14:textId="77777777" w:rsidR="007A6E4C" w:rsidRPr="00F76CAA" w:rsidRDefault="007A6E4C" w:rsidP="00382202">
      <w:pPr>
        <w:jc w:val="both"/>
        <w:rPr>
          <w:rFonts w:eastAsia="Arial"/>
          <w:noProof/>
          <w:lang w:val="sl-SI"/>
        </w:rPr>
      </w:pPr>
    </w:p>
    <w:p w14:paraId="2673C9AA" w14:textId="77777777" w:rsidR="00382202" w:rsidRPr="00F76CAA" w:rsidRDefault="00000000" w:rsidP="00382202">
      <w:pPr>
        <w:jc w:val="both"/>
        <w:rPr>
          <w:rFonts w:eastAsia="Arial"/>
          <w:noProof/>
          <w:lang w:val="sl-SI"/>
        </w:rPr>
      </w:pPr>
      <w:r w:rsidRPr="00F76CAA">
        <w:rPr>
          <w:rFonts w:eastAsia="Arial"/>
          <w:noProof/>
          <w:lang w:val="sl-SI"/>
        </w:rPr>
        <w:t xml:space="preserve">Skladno s tretjim odst. 13. člena ZDDPO-2, ki, s ciljem odprave dvojne obdavčitve, določa, da se prihodki rezidenta, ki izvirajo iz v preteklih davčnih obdobjih nepriznanih odhodkov, izvzamejo iz davčne osnove, vendar največ do zneska davčno nepriznanih odhodkov v preteklih davčnih obdobjih, lahko zavezanec v obračunu </w:t>
      </w:r>
      <w:r w:rsidR="0057720F">
        <w:rPr>
          <w:rFonts w:eastAsia="Arial"/>
          <w:noProof/>
          <w:lang w:val="sl-SI"/>
        </w:rPr>
        <w:t>DDPO</w:t>
      </w:r>
      <w:r w:rsidRPr="00F76CAA">
        <w:rPr>
          <w:rFonts w:eastAsia="Arial"/>
          <w:noProof/>
          <w:lang w:val="sl-SI"/>
        </w:rPr>
        <w:t xml:space="preserve"> za davčno obdobje, v katerem je prišlo do odsvojitve </w:t>
      </w:r>
      <w:r w:rsidRPr="00F76CAA">
        <w:rPr>
          <w:rFonts w:eastAsia="Arial"/>
          <w:noProof/>
          <w:lang w:val="sl-SI"/>
        </w:rPr>
        <w:lastRenderedPageBreak/>
        <w:t xml:space="preserve">nepremičnine, v polju 2.12 izvzame prihodke v višini </w:t>
      </w:r>
      <w:r w:rsidR="0057720F">
        <w:rPr>
          <w:rFonts w:eastAsia="Arial"/>
          <w:noProof/>
          <w:lang w:val="sl-SI"/>
        </w:rPr>
        <w:t>stroškov amortizacije nepremičnine, ki so bili v preteklih</w:t>
      </w:r>
      <w:r w:rsidR="002134A3">
        <w:rPr>
          <w:rFonts w:eastAsia="Arial"/>
          <w:noProof/>
          <w:lang w:val="sl-SI"/>
        </w:rPr>
        <w:t xml:space="preserve"> obdobjih in v obdobju prodaje davčno nepriznani na podlagi 27. člena ZDDPO-2.</w:t>
      </w:r>
    </w:p>
    <w:p w14:paraId="430C3F6C" w14:textId="77777777" w:rsidR="00382202" w:rsidRPr="00F76CAA" w:rsidRDefault="00382202" w:rsidP="00382202">
      <w:pPr>
        <w:jc w:val="both"/>
        <w:rPr>
          <w:rFonts w:eastAsia="Arial"/>
          <w:noProof/>
          <w:lang w:val="sl-SI"/>
        </w:rPr>
      </w:pPr>
    </w:p>
    <w:p w14:paraId="47E9E2B5" w14:textId="77777777" w:rsidR="007E6DC5" w:rsidRDefault="00000000" w:rsidP="002134A3">
      <w:pPr>
        <w:jc w:val="both"/>
        <w:rPr>
          <w:rFonts w:eastAsia="Arial"/>
          <w:noProof/>
          <w:lang w:val="sl-SI"/>
        </w:rPr>
      </w:pPr>
      <w:r w:rsidRPr="00F76CAA">
        <w:rPr>
          <w:rFonts w:eastAsia="Arial"/>
          <w:noProof/>
          <w:lang w:val="sl-SI"/>
        </w:rPr>
        <w:t xml:space="preserve">Glede na dejstvo, da je zavezanec del obračunane amortizacije uveljavljal kot davčno priznan odhodek v okviru skupnega zneska odhodkov, ki se je nanašal na pridobitno dejavnost in je bil izračunan na podlagi deleža pridobitnih prihodkov v celotnih prihodkih zavezanca, bo moral, s ciljem ugotovitve zneska davčno nepriznanih </w:t>
      </w:r>
      <w:r w:rsidR="002134A3">
        <w:rPr>
          <w:rFonts w:eastAsia="Arial"/>
          <w:noProof/>
          <w:lang w:val="sl-SI"/>
        </w:rPr>
        <w:t>odhodkov</w:t>
      </w:r>
      <w:r w:rsidRPr="00F76CAA">
        <w:rPr>
          <w:rFonts w:eastAsia="Arial"/>
          <w:noProof/>
          <w:lang w:val="sl-SI"/>
        </w:rPr>
        <w:t xml:space="preserve"> amortizacije, te zneske preračunati za vsako davčno obdobje posebej</w:t>
      </w:r>
      <w:r w:rsidR="002134A3">
        <w:rPr>
          <w:rFonts w:eastAsia="Arial"/>
          <w:noProof/>
          <w:lang w:val="sl-SI"/>
        </w:rPr>
        <w:t>. Davčno nepriznani odhodki amortizacije so enaki zmnožku vseh stroškov amortizacije in deleža nepridobitne dejavnosti, to je deleža nepridobitnih prihodkov v v vseh prihodkih zavezanca.</w:t>
      </w:r>
    </w:p>
    <w:sectPr w:rsidR="007E6DC5" w:rsidSect="00F0025B">
      <w:headerReference w:type="even" r:id="rId8"/>
      <w:headerReference w:type="default" r:id="rId9"/>
      <w:footerReference w:type="even" r:id="rId10"/>
      <w:footerReference w:type="default" r:id="rId11"/>
      <w:headerReference w:type="first" r:id="rId12"/>
      <w:footerReference w:type="first" r:id="rId13"/>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9F61" w14:textId="77777777" w:rsidR="0077235C" w:rsidRDefault="0077235C">
      <w:pPr>
        <w:spacing w:line="240" w:lineRule="auto"/>
      </w:pPr>
      <w:r>
        <w:separator/>
      </w:r>
    </w:p>
  </w:endnote>
  <w:endnote w:type="continuationSeparator" w:id="0">
    <w:p w14:paraId="4827B095" w14:textId="77777777" w:rsidR="0077235C" w:rsidRDefault="00772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C0E5" w14:textId="77777777" w:rsidR="005254D1" w:rsidRDefault="005254D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18F39" w14:textId="77777777" w:rsidR="000B0B21" w:rsidRDefault="00000000"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3828AD">
      <w:rPr>
        <w:rFonts w:cs="Arial"/>
        <w:noProof/>
        <w:sz w:val="16"/>
      </w:rPr>
      <w:t>1</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3ED6" w14:textId="77777777" w:rsidR="000B0B21" w:rsidRDefault="00000000"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B653A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B653A6">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6A3E" w14:textId="77777777" w:rsidR="0077235C" w:rsidRDefault="0077235C">
      <w:pPr>
        <w:spacing w:line="240" w:lineRule="auto"/>
      </w:pPr>
      <w:r>
        <w:separator/>
      </w:r>
    </w:p>
  </w:footnote>
  <w:footnote w:type="continuationSeparator" w:id="0">
    <w:p w14:paraId="6E82A7D3" w14:textId="77777777" w:rsidR="0077235C" w:rsidRDefault="0077235C">
      <w:pPr>
        <w:spacing w:line="240" w:lineRule="auto"/>
      </w:pPr>
      <w:r>
        <w:continuationSeparator/>
      </w:r>
    </w:p>
  </w:footnote>
  <w:footnote w:id="1">
    <w:p w14:paraId="2F660ADA" w14:textId="77777777" w:rsidR="00382202" w:rsidRDefault="00000000" w:rsidP="00382202">
      <w:pPr>
        <w:pStyle w:val="Sprotnaopomba-besedilo"/>
      </w:pPr>
      <w:r>
        <w:rPr>
          <w:rStyle w:val="Sprotnaopomba-sklic"/>
        </w:rPr>
        <w:footnoteRef/>
      </w:r>
      <w:r>
        <w:t xml:space="preserve"> Pomeni, da ti odhodki, ugotovljeni po računovodskih standardih, do obdobja odsvojitve nepremičnine niso zniževali davčne osnove davka od dohodkov pravnih oseb.</w:t>
      </w:r>
    </w:p>
  </w:footnote>
  <w:footnote w:id="2">
    <w:p w14:paraId="78BB2947" w14:textId="77777777" w:rsidR="00382202" w:rsidRDefault="00000000" w:rsidP="00382202">
      <w:pPr>
        <w:pStyle w:val="Sprotnaopomba-besedilo"/>
      </w:pPr>
      <w:r>
        <w:rPr>
          <w:rStyle w:val="Sprotnaopomba-sklic"/>
        </w:rPr>
        <w:footnoteRef/>
      </w:r>
      <w:r>
        <w:t xml:space="preserve"> </w:t>
      </w:r>
      <w:r>
        <w:rPr>
          <w:rFonts w:eastAsia="Arial"/>
        </w:rPr>
        <w:t>Ali morebitne druge določbe istega zakona, p</w:t>
      </w:r>
      <w:r>
        <w:t>rimeroma na podlagi 33. člena ZDDPO-2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6676" w14:textId="77777777" w:rsidR="005254D1" w:rsidRDefault="005254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27EC" w14:textId="77777777" w:rsidR="000B0B21" w:rsidRPr="00110CBD" w:rsidRDefault="000B0B21"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336B2" w14:paraId="4F420A72" w14:textId="77777777">
      <w:trPr>
        <w:cantSplit/>
        <w:trHeight w:hRule="exact" w:val="847"/>
      </w:trPr>
      <w:tc>
        <w:tcPr>
          <w:tcW w:w="567" w:type="dxa"/>
        </w:tcPr>
        <w:p w14:paraId="0A90DC8F" w14:textId="77777777" w:rsidR="000B0B21" w:rsidRDefault="00000000"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26A0E9F" w14:textId="77777777" w:rsidR="000B0B21" w:rsidRPr="006D42D9" w:rsidRDefault="000B0B21" w:rsidP="006D42D9">
          <w:pPr>
            <w:rPr>
              <w:rFonts w:ascii="Republika" w:hAnsi="Republika"/>
              <w:sz w:val="60"/>
              <w:szCs w:val="60"/>
              <w:lang w:val="sl-SI"/>
            </w:rPr>
          </w:pPr>
        </w:p>
        <w:p w14:paraId="69BFDE33" w14:textId="77777777" w:rsidR="000B0B21" w:rsidRPr="006D42D9" w:rsidRDefault="000B0B21" w:rsidP="006D42D9">
          <w:pPr>
            <w:rPr>
              <w:rFonts w:ascii="Republika" w:hAnsi="Republika"/>
              <w:sz w:val="60"/>
              <w:szCs w:val="60"/>
              <w:lang w:val="sl-SI"/>
            </w:rPr>
          </w:pPr>
        </w:p>
        <w:p w14:paraId="00BC2EDC" w14:textId="77777777" w:rsidR="000B0B21" w:rsidRPr="006D42D9" w:rsidRDefault="000B0B21" w:rsidP="006D42D9">
          <w:pPr>
            <w:rPr>
              <w:rFonts w:ascii="Republika" w:hAnsi="Republika"/>
              <w:sz w:val="60"/>
              <w:szCs w:val="60"/>
              <w:lang w:val="sl-SI"/>
            </w:rPr>
          </w:pPr>
        </w:p>
        <w:p w14:paraId="4E5E69B7" w14:textId="77777777" w:rsidR="000B0B21" w:rsidRPr="006D42D9" w:rsidRDefault="000B0B21" w:rsidP="006D42D9">
          <w:pPr>
            <w:rPr>
              <w:rFonts w:ascii="Republika" w:hAnsi="Republika"/>
              <w:sz w:val="60"/>
              <w:szCs w:val="60"/>
              <w:lang w:val="sl-SI"/>
            </w:rPr>
          </w:pPr>
        </w:p>
        <w:p w14:paraId="170A6960" w14:textId="77777777" w:rsidR="000B0B21" w:rsidRPr="006D42D9" w:rsidRDefault="000B0B21" w:rsidP="006D42D9">
          <w:pPr>
            <w:rPr>
              <w:rFonts w:ascii="Republika" w:hAnsi="Republika"/>
              <w:sz w:val="60"/>
              <w:szCs w:val="60"/>
              <w:lang w:val="sl-SI"/>
            </w:rPr>
          </w:pPr>
        </w:p>
        <w:p w14:paraId="0579494B" w14:textId="77777777" w:rsidR="000B0B21" w:rsidRPr="006D42D9" w:rsidRDefault="000B0B21" w:rsidP="006D42D9">
          <w:pPr>
            <w:rPr>
              <w:rFonts w:ascii="Republika" w:hAnsi="Republika"/>
              <w:sz w:val="60"/>
              <w:szCs w:val="60"/>
              <w:lang w:val="sl-SI"/>
            </w:rPr>
          </w:pPr>
        </w:p>
        <w:p w14:paraId="18FD6551" w14:textId="77777777" w:rsidR="000B0B21" w:rsidRPr="006D42D9" w:rsidRDefault="000B0B21" w:rsidP="006D42D9">
          <w:pPr>
            <w:rPr>
              <w:rFonts w:ascii="Republika" w:hAnsi="Republika"/>
              <w:sz w:val="60"/>
              <w:szCs w:val="60"/>
              <w:lang w:val="sl-SI"/>
            </w:rPr>
          </w:pPr>
        </w:p>
        <w:p w14:paraId="4C248833" w14:textId="77777777" w:rsidR="000B0B21" w:rsidRPr="006D42D9" w:rsidRDefault="000B0B21" w:rsidP="006D42D9">
          <w:pPr>
            <w:rPr>
              <w:rFonts w:ascii="Republika" w:hAnsi="Republika"/>
              <w:sz w:val="60"/>
              <w:szCs w:val="60"/>
              <w:lang w:val="sl-SI"/>
            </w:rPr>
          </w:pPr>
        </w:p>
        <w:p w14:paraId="3089FA13" w14:textId="77777777" w:rsidR="000B0B21" w:rsidRPr="006D42D9" w:rsidRDefault="000B0B21" w:rsidP="006D42D9">
          <w:pPr>
            <w:rPr>
              <w:rFonts w:ascii="Republika" w:hAnsi="Republika"/>
              <w:sz w:val="60"/>
              <w:szCs w:val="60"/>
              <w:lang w:val="sl-SI"/>
            </w:rPr>
          </w:pPr>
        </w:p>
        <w:p w14:paraId="384B73CF" w14:textId="77777777" w:rsidR="000B0B21" w:rsidRPr="006D42D9" w:rsidRDefault="000B0B21" w:rsidP="006D42D9">
          <w:pPr>
            <w:rPr>
              <w:rFonts w:ascii="Republika" w:hAnsi="Republika"/>
              <w:sz w:val="60"/>
              <w:szCs w:val="60"/>
              <w:lang w:val="sl-SI"/>
            </w:rPr>
          </w:pPr>
        </w:p>
        <w:p w14:paraId="41A69BEC" w14:textId="77777777" w:rsidR="000B0B21" w:rsidRPr="006D42D9" w:rsidRDefault="000B0B21" w:rsidP="006D42D9">
          <w:pPr>
            <w:rPr>
              <w:rFonts w:ascii="Republika" w:hAnsi="Republika"/>
              <w:sz w:val="60"/>
              <w:szCs w:val="60"/>
              <w:lang w:val="sl-SI"/>
            </w:rPr>
          </w:pPr>
        </w:p>
        <w:p w14:paraId="2FB890C4" w14:textId="77777777" w:rsidR="000B0B21" w:rsidRPr="006D42D9" w:rsidRDefault="000B0B21" w:rsidP="006D42D9">
          <w:pPr>
            <w:rPr>
              <w:rFonts w:ascii="Republika" w:hAnsi="Republika"/>
              <w:sz w:val="60"/>
              <w:szCs w:val="60"/>
              <w:lang w:val="sl-SI"/>
            </w:rPr>
          </w:pPr>
        </w:p>
        <w:p w14:paraId="5696757C" w14:textId="77777777" w:rsidR="000B0B21" w:rsidRPr="006D42D9" w:rsidRDefault="000B0B21" w:rsidP="006D42D9">
          <w:pPr>
            <w:rPr>
              <w:rFonts w:ascii="Republika" w:hAnsi="Republika"/>
              <w:sz w:val="60"/>
              <w:szCs w:val="60"/>
              <w:lang w:val="sl-SI"/>
            </w:rPr>
          </w:pPr>
        </w:p>
        <w:p w14:paraId="6525FE6C" w14:textId="77777777" w:rsidR="000B0B21" w:rsidRPr="006D42D9" w:rsidRDefault="000B0B21" w:rsidP="006D42D9">
          <w:pPr>
            <w:rPr>
              <w:rFonts w:ascii="Republika" w:hAnsi="Republika"/>
              <w:sz w:val="60"/>
              <w:szCs w:val="60"/>
              <w:lang w:val="sl-SI"/>
            </w:rPr>
          </w:pPr>
        </w:p>
        <w:p w14:paraId="7D9E500B" w14:textId="77777777" w:rsidR="000B0B21" w:rsidRPr="006D42D9" w:rsidRDefault="000B0B21" w:rsidP="006D42D9">
          <w:pPr>
            <w:rPr>
              <w:rFonts w:ascii="Republika" w:hAnsi="Republika"/>
              <w:sz w:val="60"/>
              <w:szCs w:val="60"/>
              <w:lang w:val="sl-SI"/>
            </w:rPr>
          </w:pPr>
        </w:p>
        <w:p w14:paraId="3D71BBE5" w14:textId="77777777" w:rsidR="000B0B21" w:rsidRPr="006D42D9" w:rsidRDefault="000B0B21" w:rsidP="006D42D9">
          <w:pPr>
            <w:rPr>
              <w:rFonts w:ascii="Republika" w:hAnsi="Republika"/>
              <w:sz w:val="60"/>
              <w:szCs w:val="60"/>
              <w:lang w:val="sl-SI"/>
            </w:rPr>
          </w:pPr>
        </w:p>
      </w:tc>
    </w:tr>
  </w:tbl>
  <w:p w14:paraId="3397917B" w14:textId="77777777" w:rsidR="000B0B21" w:rsidRPr="008F3500" w:rsidRDefault="00000000" w:rsidP="00924E3C">
    <w:pPr>
      <w:autoSpaceDE w:val="0"/>
      <w:autoSpaceDN w:val="0"/>
      <w:adjustRightInd w:val="0"/>
      <w:spacing w:line="240" w:lineRule="auto"/>
      <w:rPr>
        <w:rFonts w:ascii="Republika" w:hAnsi="Republika"/>
        <w:lang w:val="sl-SI"/>
      </w:rPr>
    </w:pPr>
    <w:r>
      <w:rPr>
        <w:noProof/>
        <w:szCs w:val="20"/>
        <w:lang w:val="sl-SI" w:eastAsia="ko-KR"/>
      </w:rPr>
      <mc:AlternateContent>
        <mc:Choice Requires="wps">
          <w:drawing>
            <wp:anchor distT="0" distB="0" distL="114300" distR="114300" simplePos="0" relativeHeight="251659264" behindDoc="1" locked="0" layoutInCell="0" allowOverlap="1" wp14:anchorId="7BAEBF35" wp14:editId="79EA5FB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58B4DBE5" w14:textId="77777777" w:rsidR="000B0B21" w:rsidRPr="00FD746A" w:rsidRDefault="00000000"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2D64D395" w14:textId="77777777" w:rsidR="00ED7E82" w:rsidRDefault="00000000"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14:paraId="1015CA7B" w14:textId="77777777" w:rsidR="005254D1" w:rsidRPr="00A12D5C" w:rsidRDefault="00000000" w:rsidP="005254D1">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2F0591DF" w14:textId="77777777" w:rsidR="005254D1" w:rsidRPr="008F3500" w:rsidRDefault="00000000" w:rsidP="005254D1">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03B9F2E7" w14:textId="77777777" w:rsidR="005254D1" w:rsidRPr="008F3500" w:rsidRDefault="00000000"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0FA8480F" w14:textId="77777777" w:rsidR="005254D1" w:rsidRPr="008F3500" w:rsidRDefault="00000000"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45E12D82" w14:textId="77777777"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21342506">
      <w:start w:val="1"/>
      <w:numFmt w:val="decimal"/>
      <w:lvlText w:val="%1."/>
      <w:lvlJc w:val="left"/>
      <w:pPr>
        <w:tabs>
          <w:tab w:val="num" w:pos="1080"/>
        </w:tabs>
        <w:ind w:left="1080" w:hanging="360"/>
      </w:pPr>
      <w:rPr>
        <w:rFonts w:hint="default"/>
      </w:rPr>
    </w:lvl>
    <w:lvl w:ilvl="1" w:tplc="D2849372" w:tentative="1">
      <w:start w:val="1"/>
      <w:numFmt w:val="lowerLetter"/>
      <w:lvlText w:val="%2."/>
      <w:lvlJc w:val="left"/>
      <w:pPr>
        <w:ind w:left="1800" w:hanging="360"/>
      </w:pPr>
    </w:lvl>
    <w:lvl w:ilvl="2" w:tplc="EDB00954" w:tentative="1">
      <w:start w:val="1"/>
      <w:numFmt w:val="lowerRoman"/>
      <w:lvlText w:val="%3."/>
      <w:lvlJc w:val="right"/>
      <w:pPr>
        <w:ind w:left="2520" w:hanging="180"/>
      </w:pPr>
    </w:lvl>
    <w:lvl w:ilvl="3" w:tplc="26329AFE" w:tentative="1">
      <w:start w:val="1"/>
      <w:numFmt w:val="decimal"/>
      <w:lvlText w:val="%4."/>
      <w:lvlJc w:val="left"/>
      <w:pPr>
        <w:ind w:left="3240" w:hanging="360"/>
      </w:pPr>
    </w:lvl>
    <w:lvl w:ilvl="4" w:tplc="7496299C" w:tentative="1">
      <w:start w:val="1"/>
      <w:numFmt w:val="lowerLetter"/>
      <w:lvlText w:val="%5."/>
      <w:lvlJc w:val="left"/>
      <w:pPr>
        <w:ind w:left="3960" w:hanging="360"/>
      </w:pPr>
    </w:lvl>
    <w:lvl w:ilvl="5" w:tplc="8B747F1E" w:tentative="1">
      <w:start w:val="1"/>
      <w:numFmt w:val="lowerRoman"/>
      <w:lvlText w:val="%6."/>
      <w:lvlJc w:val="right"/>
      <w:pPr>
        <w:ind w:left="4680" w:hanging="180"/>
      </w:pPr>
    </w:lvl>
    <w:lvl w:ilvl="6" w:tplc="0DF84E22" w:tentative="1">
      <w:start w:val="1"/>
      <w:numFmt w:val="decimal"/>
      <w:lvlText w:val="%7."/>
      <w:lvlJc w:val="left"/>
      <w:pPr>
        <w:ind w:left="5400" w:hanging="360"/>
      </w:pPr>
    </w:lvl>
    <w:lvl w:ilvl="7" w:tplc="CA860F86" w:tentative="1">
      <w:start w:val="1"/>
      <w:numFmt w:val="lowerLetter"/>
      <w:lvlText w:val="%8."/>
      <w:lvlJc w:val="left"/>
      <w:pPr>
        <w:ind w:left="6120" w:hanging="360"/>
      </w:pPr>
    </w:lvl>
    <w:lvl w:ilvl="8" w:tplc="ED101A2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71EE353C">
      <w:start w:val="1"/>
      <w:numFmt w:val="decimal"/>
      <w:lvlText w:val="%1."/>
      <w:lvlJc w:val="left"/>
      <w:pPr>
        <w:tabs>
          <w:tab w:val="num" w:pos="360"/>
        </w:tabs>
        <w:ind w:left="360" w:hanging="360"/>
      </w:pPr>
      <w:rPr>
        <w:rFonts w:hint="default"/>
      </w:rPr>
    </w:lvl>
    <w:lvl w:ilvl="1" w:tplc="BAB07F40" w:tentative="1">
      <w:start w:val="1"/>
      <w:numFmt w:val="lowerLetter"/>
      <w:lvlText w:val="%2."/>
      <w:lvlJc w:val="left"/>
      <w:pPr>
        <w:ind w:left="1080" w:hanging="360"/>
      </w:pPr>
    </w:lvl>
    <w:lvl w:ilvl="2" w:tplc="3064F006" w:tentative="1">
      <w:start w:val="1"/>
      <w:numFmt w:val="lowerRoman"/>
      <w:lvlText w:val="%3."/>
      <w:lvlJc w:val="right"/>
      <w:pPr>
        <w:ind w:left="1800" w:hanging="180"/>
      </w:pPr>
    </w:lvl>
    <w:lvl w:ilvl="3" w:tplc="A3404CEA" w:tentative="1">
      <w:start w:val="1"/>
      <w:numFmt w:val="decimal"/>
      <w:lvlText w:val="%4."/>
      <w:lvlJc w:val="left"/>
      <w:pPr>
        <w:ind w:left="2520" w:hanging="360"/>
      </w:pPr>
    </w:lvl>
    <w:lvl w:ilvl="4" w:tplc="3F3C634C" w:tentative="1">
      <w:start w:val="1"/>
      <w:numFmt w:val="lowerLetter"/>
      <w:lvlText w:val="%5."/>
      <w:lvlJc w:val="left"/>
      <w:pPr>
        <w:ind w:left="3240" w:hanging="360"/>
      </w:pPr>
    </w:lvl>
    <w:lvl w:ilvl="5" w:tplc="E3BE982E" w:tentative="1">
      <w:start w:val="1"/>
      <w:numFmt w:val="lowerRoman"/>
      <w:lvlText w:val="%6."/>
      <w:lvlJc w:val="right"/>
      <w:pPr>
        <w:ind w:left="3960" w:hanging="180"/>
      </w:pPr>
    </w:lvl>
    <w:lvl w:ilvl="6" w:tplc="A2E4881C" w:tentative="1">
      <w:start w:val="1"/>
      <w:numFmt w:val="decimal"/>
      <w:lvlText w:val="%7."/>
      <w:lvlJc w:val="left"/>
      <w:pPr>
        <w:ind w:left="4680" w:hanging="360"/>
      </w:pPr>
    </w:lvl>
    <w:lvl w:ilvl="7" w:tplc="1734AB5A" w:tentative="1">
      <w:start w:val="1"/>
      <w:numFmt w:val="lowerLetter"/>
      <w:lvlText w:val="%8."/>
      <w:lvlJc w:val="left"/>
      <w:pPr>
        <w:ind w:left="5400" w:hanging="360"/>
      </w:pPr>
    </w:lvl>
    <w:lvl w:ilvl="8" w:tplc="0C9299E6"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62724530">
      <w:start w:val="1"/>
      <w:numFmt w:val="decimal"/>
      <w:lvlText w:val="%1."/>
      <w:lvlJc w:val="left"/>
      <w:pPr>
        <w:tabs>
          <w:tab w:val="num" w:pos="720"/>
        </w:tabs>
        <w:ind w:left="720" w:hanging="360"/>
      </w:pPr>
      <w:rPr>
        <w:rFonts w:hint="default"/>
      </w:rPr>
    </w:lvl>
    <w:lvl w:ilvl="1" w:tplc="952E9FEA" w:tentative="1">
      <w:start w:val="1"/>
      <w:numFmt w:val="lowerLetter"/>
      <w:lvlText w:val="%2."/>
      <w:lvlJc w:val="left"/>
      <w:pPr>
        <w:tabs>
          <w:tab w:val="num" w:pos="1440"/>
        </w:tabs>
        <w:ind w:left="1440" w:hanging="360"/>
      </w:pPr>
    </w:lvl>
    <w:lvl w:ilvl="2" w:tplc="4C40953A" w:tentative="1">
      <w:start w:val="1"/>
      <w:numFmt w:val="lowerRoman"/>
      <w:lvlText w:val="%3."/>
      <w:lvlJc w:val="right"/>
      <w:pPr>
        <w:tabs>
          <w:tab w:val="num" w:pos="2160"/>
        </w:tabs>
        <w:ind w:left="2160" w:hanging="180"/>
      </w:pPr>
    </w:lvl>
    <w:lvl w:ilvl="3" w:tplc="5C84AF28" w:tentative="1">
      <w:start w:val="1"/>
      <w:numFmt w:val="decimal"/>
      <w:lvlText w:val="%4."/>
      <w:lvlJc w:val="left"/>
      <w:pPr>
        <w:tabs>
          <w:tab w:val="num" w:pos="2880"/>
        </w:tabs>
        <w:ind w:left="2880" w:hanging="360"/>
      </w:pPr>
    </w:lvl>
    <w:lvl w:ilvl="4" w:tplc="FE5218AA" w:tentative="1">
      <w:start w:val="1"/>
      <w:numFmt w:val="lowerLetter"/>
      <w:lvlText w:val="%5."/>
      <w:lvlJc w:val="left"/>
      <w:pPr>
        <w:tabs>
          <w:tab w:val="num" w:pos="3600"/>
        </w:tabs>
        <w:ind w:left="3600" w:hanging="360"/>
      </w:pPr>
    </w:lvl>
    <w:lvl w:ilvl="5" w:tplc="B7269F08" w:tentative="1">
      <w:start w:val="1"/>
      <w:numFmt w:val="lowerRoman"/>
      <w:lvlText w:val="%6."/>
      <w:lvlJc w:val="right"/>
      <w:pPr>
        <w:tabs>
          <w:tab w:val="num" w:pos="4320"/>
        </w:tabs>
        <w:ind w:left="4320" w:hanging="180"/>
      </w:pPr>
    </w:lvl>
    <w:lvl w:ilvl="6" w:tplc="82FC81FE" w:tentative="1">
      <w:start w:val="1"/>
      <w:numFmt w:val="decimal"/>
      <w:lvlText w:val="%7."/>
      <w:lvlJc w:val="left"/>
      <w:pPr>
        <w:tabs>
          <w:tab w:val="num" w:pos="5040"/>
        </w:tabs>
        <w:ind w:left="5040" w:hanging="360"/>
      </w:pPr>
    </w:lvl>
    <w:lvl w:ilvl="7" w:tplc="7758DFCE" w:tentative="1">
      <w:start w:val="1"/>
      <w:numFmt w:val="lowerLetter"/>
      <w:lvlText w:val="%8."/>
      <w:lvlJc w:val="left"/>
      <w:pPr>
        <w:tabs>
          <w:tab w:val="num" w:pos="5760"/>
        </w:tabs>
        <w:ind w:left="5760" w:hanging="360"/>
      </w:pPr>
    </w:lvl>
    <w:lvl w:ilvl="8" w:tplc="9AA65958" w:tentative="1">
      <w:start w:val="1"/>
      <w:numFmt w:val="lowerRoman"/>
      <w:lvlText w:val="%9."/>
      <w:lvlJc w:val="right"/>
      <w:pPr>
        <w:tabs>
          <w:tab w:val="num" w:pos="6480"/>
        </w:tabs>
        <w:ind w:left="6480" w:hanging="180"/>
      </w:pPr>
    </w:lvl>
  </w:abstractNum>
  <w:abstractNum w:abstractNumId="3" w15:restartNumberingAfterBreak="0">
    <w:nsid w:val="391A4E10"/>
    <w:multiLevelType w:val="hybridMultilevel"/>
    <w:tmpl w:val="2FB0ED9A"/>
    <w:lvl w:ilvl="0" w:tplc="A412C306">
      <w:numFmt w:val="bullet"/>
      <w:lvlText w:val="-"/>
      <w:lvlJc w:val="left"/>
      <w:pPr>
        <w:ind w:left="720" w:hanging="360"/>
      </w:pPr>
      <w:rPr>
        <w:rFonts w:ascii="Arial" w:eastAsia="Times New Roman" w:hAnsi="Arial" w:cs="Arial" w:hint="default"/>
      </w:rPr>
    </w:lvl>
    <w:lvl w:ilvl="1" w:tplc="44D29528" w:tentative="1">
      <w:start w:val="1"/>
      <w:numFmt w:val="bullet"/>
      <w:lvlText w:val="o"/>
      <w:lvlJc w:val="left"/>
      <w:pPr>
        <w:ind w:left="1440" w:hanging="360"/>
      </w:pPr>
      <w:rPr>
        <w:rFonts w:ascii="Courier New" w:hAnsi="Courier New" w:cs="Courier New" w:hint="default"/>
      </w:rPr>
    </w:lvl>
    <w:lvl w:ilvl="2" w:tplc="8FC28198" w:tentative="1">
      <w:start w:val="1"/>
      <w:numFmt w:val="bullet"/>
      <w:lvlText w:val=""/>
      <w:lvlJc w:val="left"/>
      <w:pPr>
        <w:ind w:left="2160" w:hanging="360"/>
      </w:pPr>
      <w:rPr>
        <w:rFonts w:ascii="Wingdings" w:hAnsi="Wingdings" w:hint="default"/>
      </w:rPr>
    </w:lvl>
    <w:lvl w:ilvl="3" w:tplc="1E087C9E" w:tentative="1">
      <w:start w:val="1"/>
      <w:numFmt w:val="bullet"/>
      <w:lvlText w:val=""/>
      <w:lvlJc w:val="left"/>
      <w:pPr>
        <w:ind w:left="2880" w:hanging="360"/>
      </w:pPr>
      <w:rPr>
        <w:rFonts w:ascii="Symbol" w:hAnsi="Symbol" w:hint="default"/>
      </w:rPr>
    </w:lvl>
    <w:lvl w:ilvl="4" w:tplc="59C8A910" w:tentative="1">
      <w:start w:val="1"/>
      <w:numFmt w:val="bullet"/>
      <w:lvlText w:val="o"/>
      <w:lvlJc w:val="left"/>
      <w:pPr>
        <w:ind w:left="3600" w:hanging="360"/>
      </w:pPr>
      <w:rPr>
        <w:rFonts w:ascii="Courier New" w:hAnsi="Courier New" w:cs="Courier New" w:hint="default"/>
      </w:rPr>
    </w:lvl>
    <w:lvl w:ilvl="5" w:tplc="5406C5EA" w:tentative="1">
      <w:start w:val="1"/>
      <w:numFmt w:val="bullet"/>
      <w:lvlText w:val=""/>
      <w:lvlJc w:val="left"/>
      <w:pPr>
        <w:ind w:left="4320" w:hanging="360"/>
      </w:pPr>
      <w:rPr>
        <w:rFonts w:ascii="Wingdings" w:hAnsi="Wingdings" w:hint="default"/>
      </w:rPr>
    </w:lvl>
    <w:lvl w:ilvl="6" w:tplc="2EA6FFEC" w:tentative="1">
      <w:start w:val="1"/>
      <w:numFmt w:val="bullet"/>
      <w:lvlText w:val=""/>
      <w:lvlJc w:val="left"/>
      <w:pPr>
        <w:ind w:left="5040" w:hanging="360"/>
      </w:pPr>
      <w:rPr>
        <w:rFonts w:ascii="Symbol" w:hAnsi="Symbol" w:hint="default"/>
      </w:rPr>
    </w:lvl>
    <w:lvl w:ilvl="7" w:tplc="C50CE5F8" w:tentative="1">
      <w:start w:val="1"/>
      <w:numFmt w:val="bullet"/>
      <w:lvlText w:val="o"/>
      <w:lvlJc w:val="left"/>
      <w:pPr>
        <w:ind w:left="5760" w:hanging="360"/>
      </w:pPr>
      <w:rPr>
        <w:rFonts w:ascii="Courier New" w:hAnsi="Courier New" w:cs="Courier New" w:hint="default"/>
      </w:rPr>
    </w:lvl>
    <w:lvl w:ilvl="8" w:tplc="01880F4C" w:tentative="1">
      <w:start w:val="1"/>
      <w:numFmt w:val="bullet"/>
      <w:lvlText w:val=""/>
      <w:lvlJc w:val="left"/>
      <w:pPr>
        <w:ind w:left="6480"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ACA02596">
      <w:start w:val="1"/>
      <w:numFmt w:val="decimal"/>
      <w:lvlText w:val="%1."/>
      <w:lvlJc w:val="left"/>
      <w:pPr>
        <w:tabs>
          <w:tab w:val="num" w:pos="720"/>
        </w:tabs>
        <w:ind w:left="720" w:hanging="360"/>
      </w:pPr>
    </w:lvl>
    <w:lvl w:ilvl="1" w:tplc="72280376" w:tentative="1">
      <w:start w:val="1"/>
      <w:numFmt w:val="lowerLetter"/>
      <w:lvlText w:val="%2."/>
      <w:lvlJc w:val="left"/>
      <w:pPr>
        <w:tabs>
          <w:tab w:val="num" w:pos="1440"/>
        </w:tabs>
        <w:ind w:left="1440" w:hanging="360"/>
      </w:pPr>
    </w:lvl>
    <w:lvl w:ilvl="2" w:tplc="060428FE" w:tentative="1">
      <w:start w:val="1"/>
      <w:numFmt w:val="lowerRoman"/>
      <w:lvlText w:val="%3."/>
      <w:lvlJc w:val="right"/>
      <w:pPr>
        <w:tabs>
          <w:tab w:val="num" w:pos="2160"/>
        </w:tabs>
        <w:ind w:left="2160" w:hanging="180"/>
      </w:pPr>
    </w:lvl>
    <w:lvl w:ilvl="3" w:tplc="1B866AF6" w:tentative="1">
      <w:start w:val="1"/>
      <w:numFmt w:val="decimal"/>
      <w:lvlText w:val="%4."/>
      <w:lvlJc w:val="left"/>
      <w:pPr>
        <w:tabs>
          <w:tab w:val="num" w:pos="2880"/>
        </w:tabs>
        <w:ind w:left="2880" w:hanging="360"/>
      </w:pPr>
    </w:lvl>
    <w:lvl w:ilvl="4" w:tplc="D12ADB64" w:tentative="1">
      <w:start w:val="1"/>
      <w:numFmt w:val="lowerLetter"/>
      <w:lvlText w:val="%5."/>
      <w:lvlJc w:val="left"/>
      <w:pPr>
        <w:tabs>
          <w:tab w:val="num" w:pos="3600"/>
        </w:tabs>
        <w:ind w:left="3600" w:hanging="360"/>
      </w:pPr>
    </w:lvl>
    <w:lvl w:ilvl="5" w:tplc="383A74DA" w:tentative="1">
      <w:start w:val="1"/>
      <w:numFmt w:val="lowerRoman"/>
      <w:lvlText w:val="%6."/>
      <w:lvlJc w:val="right"/>
      <w:pPr>
        <w:tabs>
          <w:tab w:val="num" w:pos="4320"/>
        </w:tabs>
        <w:ind w:left="4320" w:hanging="180"/>
      </w:pPr>
    </w:lvl>
    <w:lvl w:ilvl="6" w:tplc="68AE3C88" w:tentative="1">
      <w:start w:val="1"/>
      <w:numFmt w:val="decimal"/>
      <w:lvlText w:val="%7."/>
      <w:lvlJc w:val="left"/>
      <w:pPr>
        <w:tabs>
          <w:tab w:val="num" w:pos="5040"/>
        </w:tabs>
        <w:ind w:left="5040" w:hanging="360"/>
      </w:pPr>
    </w:lvl>
    <w:lvl w:ilvl="7" w:tplc="8098CA38" w:tentative="1">
      <w:start w:val="1"/>
      <w:numFmt w:val="lowerLetter"/>
      <w:lvlText w:val="%8."/>
      <w:lvlJc w:val="left"/>
      <w:pPr>
        <w:tabs>
          <w:tab w:val="num" w:pos="5760"/>
        </w:tabs>
        <w:ind w:left="5760" w:hanging="360"/>
      </w:pPr>
    </w:lvl>
    <w:lvl w:ilvl="8" w:tplc="3FC0354C" w:tentative="1">
      <w:start w:val="1"/>
      <w:numFmt w:val="lowerRoman"/>
      <w:lvlText w:val="%9."/>
      <w:lvlJc w:val="right"/>
      <w:pPr>
        <w:tabs>
          <w:tab w:val="num" w:pos="6480"/>
        </w:tabs>
        <w:ind w:left="6480" w:hanging="180"/>
      </w:pPr>
    </w:lvl>
  </w:abstractNum>
  <w:num w:numId="1" w16cid:durableId="2146969133">
    <w:abstractNumId w:val="5"/>
  </w:num>
  <w:num w:numId="2" w16cid:durableId="511383165">
    <w:abstractNumId w:val="2"/>
  </w:num>
  <w:num w:numId="3" w16cid:durableId="1824151929">
    <w:abstractNumId w:val="4"/>
  </w:num>
  <w:num w:numId="4" w16cid:durableId="1102605714">
    <w:abstractNumId w:val="0"/>
  </w:num>
  <w:num w:numId="5" w16cid:durableId="2136556720">
    <w:abstractNumId w:val="1"/>
  </w:num>
  <w:num w:numId="6" w16cid:durableId="13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147E7"/>
    <w:rsid w:val="000206AE"/>
    <w:rsid w:val="00023A88"/>
    <w:rsid w:val="0004674D"/>
    <w:rsid w:val="000636E1"/>
    <w:rsid w:val="0008352D"/>
    <w:rsid w:val="000A07CE"/>
    <w:rsid w:val="000A2C92"/>
    <w:rsid w:val="000A7238"/>
    <w:rsid w:val="000B0B21"/>
    <w:rsid w:val="000D08A9"/>
    <w:rsid w:val="000E2F2B"/>
    <w:rsid w:val="000E7875"/>
    <w:rsid w:val="000F3D38"/>
    <w:rsid w:val="00110CBD"/>
    <w:rsid w:val="00123D7D"/>
    <w:rsid w:val="001357B2"/>
    <w:rsid w:val="00151388"/>
    <w:rsid w:val="00151872"/>
    <w:rsid w:val="00160E5F"/>
    <w:rsid w:val="001A3BA5"/>
    <w:rsid w:val="001F3B21"/>
    <w:rsid w:val="001F7BC0"/>
    <w:rsid w:val="00202A77"/>
    <w:rsid w:val="0020422C"/>
    <w:rsid w:val="00207DC8"/>
    <w:rsid w:val="002134A3"/>
    <w:rsid w:val="00232E47"/>
    <w:rsid w:val="0024583F"/>
    <w:rsid w:val="00261D80"/>
    <w:rsid w:val="00261D99"/>
    <w:rsid w:val="00262960"/>
    <w:rsid w:val="00271CE5"/>
    <w:rsid w:val="00282020"/>
    <w:rsid w:val="00282A2F"/>
    <w:rsid w:val="00285890"/>
    <w:rsid w:val="002934F1"/>
    <w:rsid w:val="00296D93"/>
    <w:rsid w:val="00297F27"/>
    <w:rsid w:val="002A4B44"/>
    <w:rsid w:val="002B6475"/>
    <w:rsid w:val="002C7EEB"/>
    <w:rsid w:val="002F1662"/>
    <w:rsid w:val="00304726"/>
    <w:rsid w:val="00315D82"/>
    <w:rsid w:val="003170B9"/>
    <w:rsid w:val="00352109"/>
    <w:rsid w:val="003636BF"/>
    <w:rsid w:val="00370AA7"/>
    <w:rsid w:val="00371034"/>
    <w:rsid w:val="0037479F"/>
    <w:rsid w:val="00377950"/>
    <w:rsid w:val="00382202"/>
    <w:rsid w:val="003828AD"/>
    <w:rsid w:val="003845B4"/>
    <w:rsid w:val="00387B1A"/>
    <w:rsid w:val="0039148F"/>
    <w:rsid w:val="003B5CF4"/>
    <w:rsid w:val="003C28AA"/>
    <w:rsid w:val="003C3B1D"/>
    <w:rsid w:val="003D0306"/>
    <w:rsid w:val="003E1C74"/>
    <w:rsid w:val="003E7E9E"/>
    <w:rsid w:val="003F4966"/>
    <w:rsid w:val="00464335"/>
    <w:rsid w:val="00484A06"/>
    <w:rsid w:val="004A2490"/>
    <w:rsid w:val="004A4233"/>
    <w:rsid w:val="004A6A59"/>
    <w:rsid w:val="004B160E"/>
    <w:rsid w:val="004E3584"/>
    <w:rsid w:val="004F561D"/>
    <w:rsid w:val="0050296F"/>
    <w:rsid w:val="005149DF"/>
    <w:rsid w:val="005177DF"/>
    <w:rsid w:val="005254D1"/>
    <w:rsid w:val="00525C18"/>
    <w:rsid w:val="00526246"/>
    <w:rsid w:val="00532C59"/>
    <w:rsid w:val="0055206D"/>
    <w:rsid w:val="00567106"/>
    <w:rsid w:val="005709F2"/>
    <w:rsid w:val="0057720F"/>
    <w:rsid w:val="005916E5"/>
    <w:rsid w:val="005B0438"/>
    <w:rsid w:val="005E1D3C"/>
    <w:rsid w:val="006268BE"/>
    <w:rsid w:val="00632253"/>
    <w:rsid w:val="00642714"/>
    <w:rsid w:val="00643C4E"/>
    <w:rsid w:val="006455CE"/>
    <w:rsid w:val="00677E74"/>
    <w:rsid w:val="0068058C"/>
    <w:rsid w:val="00694B33"/>
    <w:rsid w:val="006C4AE3"/>
    <w:rsid w:val="006D42D9"/>
    <w:rsid w:val="006F142E"/>
    <w:rsid w:val="00726463"/>
    <w:rsid w:val="00733017"/>
    <w:rsid w:val="00734FFA"/>
    <w:rsid w:val="00751D38"/>
    <w:rsid w:val="0077235C"/>
    <w:rsid w:val="00775FED"/>
    <w:rsid w:val="00780335"/>
    <w:rsid w:val="00783310"/>
    <w:rsid w:val="00794B95"/>
    <w:rsid w:val="00794E63"/>
    <w:rsid w:val="007A4A6D"/>
    <w:rsid w:val="007A6E4C"/>
    <w:rsid w:val="007D05C8"/>
    <w:rsid w:val="007D1BCF"/>
    <w:rsid w:val="007D75CF"/>
    <w:rsid w:val="007E6DC5"/>
    <w:rsid w:val="008078F7"/>
    <w:rsid w:val="0088043C"/>
    <w:rsid w:val="008906C9"/>
    <w:rsid w:val="008A5918"/>
    <w:rsid w:val="008B2E72"/>
    <w:rsid w:val="008C00F2"/>
    <w:rsid w:val="008C5738"/>
    <w:rsid w:val="008D04F0"/>
    <w:rsid w:val="008E1660"/>
    <w:rsid w:val="008E2D84"/>
    <w:rsid w:val="008F3500"/>
    <w:rsid w:val="009022B3"/>
    <w:rsid w:val="00924E3C"/>
    <w:rsid w:val="00925A8B"/>
    <w:rsid w:val="009612BB"/>
    <w:rsid w:val="009B0295"/>
    <w:rsid w:val="009C5340"/>
    <w:rsid w:val="009E42F2"/>
    <w:rsid w:val="00A05DC7"/>
    <w:rsid w:val="00A07FB0"/>
    <w:rsid w:val="00A125C5"/>
    <w:rsid w:val="00A12D5C"/>
    <w:rsid w:val="00A216AF"/>
    <w:rsid w:val="00A3267F"/>
    <w:rsid w:val="00A36906"/>
    <w:rsid w:val="00A45EAF"/>
    <w:rsid w:val="00A5039D"/>
    <w:rsid w:val="00A65EE7"/>
    <w:rsid w:val="00A70133"/>
    <w:rsid w:val="00A72510"/>
    <w:rsid w:val="00AA47FE"/>
    <w:rsid w:val="00AC05DE"/>
    <w:rsid w:val="00AC56FF"/>
    <w:rsid w:val="00AC5C16"/>
    <w:rsid w:val="00AD48FB"/>
    <w:rsid w:val="00AD5A5B"/>
    <w:rsid w:val="00AE1792"/>
    <w:rsid w:val="00AE2D7F"/>
    <w:rsid w:val="00B011EA"/>
    <w:rsid w:val="00B038B1"/>
    <w:rsid w:val="00B13973"/>
    <w:rsid w:val="00B17141"/>
    <w:rsid w:val="00B223EB"/>
    <w:rsid w:val="00B31575"/>
    <w:rsid w:val="00B336B2"/>
    <w:rsid w:val="00B62CE5"/>
    <w:rsid w:val="00B63BD4"/>
    <w:rsid w:val="00B653A6"/>
    <w:rsid w:val="00B677B6"/>
    <w:rsid w:val="00B8055F"/>
    <w:rsid w:val="00B8547D"/>
    <w:rsid w:val="00BC2517"/>
    <w:rsid w:val="00BC61EF"/>
    <w:rsid w:val="00BE423F"/>
    <w:rsid w:val="00BF75C5"/>
    <w:rsid w:val="00C12A54"/>
    <w:rsid w:val="00C1397D"/>
    <w:rsid w:val="00C250D5"/>
    <w:rsid w:val="00C47F8D"/>
    <w:rsid w:val="00C5171C"/>
    <w:rsid w:val="00C52DAE"/>
    <w:rsid w:val="00C57EED"/>
    <w:rsid w:val="00C7626D"/>
    <w:rsid w:val="00C81391"/>
    <w:rsid w:val="00C92898"/>
    <w:rsid w:val="00C97222"/>
    <w:rsid w:val="00CA28CB"/>
    <w:rsid w:val="00CC3C00"/>
    <w:rsid w:val="00CE7514"/>
    <w:rsid w:val="00D248DE"/>
    <w:rsid w:val="00D25427"/>
    <w:rsid w:val="00D31B74"/>
    <w:rsid w:val="00D3564D"/>
    <w:rsid w:val="00D8542D"/>
    <w:rsid w:val="00D917A0"/>
    <w:rsid w:val="00DB11E1"/>
    <w:rsid w:val="00DB4E6F"/>
    <w:rsid w:val="00DC62F6"/>
    <w:rsid w:val="00DC6A71"/>
    <w:rsid w:val="00DD6CC3"/>
    <w:rsid w:val="00DE5B46"/>
    <w:rsid w:val="00DF2AEF"/>
    <w:rsid w:val="00E0357D"/>
    <w:rsid w:val="00E20A8F"/>
    <w:rsid w:val="00E24EC2"/>
    <w:rsid w:val="00E447E8"/>
    <w:rsid w:val="00E51C0F"/>
    <w:rsid w:val="00E8201C"/>
    <w:rsid w:val="00E94ECF"/>
    <w:rsid w:val="00EA0E3C"/>
    <w:rsid w:val="00ED00D1"/>
    <w:rsid w:val="00ED27F8"/>
    <w:rsid w:val="00ED7E82"/>
    <w:rsid w:val="00EF3280"/>
    <w:rsid w:val="00EF63CC"/>
    <w:rsid w:val="00F0025B"/>
    <w:rsid w:val="00F02E53"/>
    <w:rsid w:val="00F1126C"/>
    <w:rsid w:val="00F240BB"/>
    <w:rsid w:val="00F42CE8"/>
    <w:rsid w:val="00F46724"/>
    <w:rsid w:val="00F4726D"/>
    <w:rsid w:val="00F47F58"/>
    <w:rsid w:val="00F57FED"/>
    <w:rsid w:val="00F639BB"/>
    <w:rsid w:val="00F76CAA"/>
    <w:rsid w:val="00F94746"/>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B06CDB"/>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Golobesedilo">
    <w:name w:val="Plain Text"/>
    <w:basedOn w:val="Navaden"/>
    <w:link w:val="GolobesediloZnak"/>
    <w:rsid w:val="0055206D"/>
    <w:pPr>
      <w:spacing w:after="120" w:line="240" w:lineRule="auto"/>
      <w:ind w:right="-284"/>
      <w:jc w:val="both"/>
    </w:pPr>
    <w:rPr>
      <w:rFonts w:ascii="Courier New" w:hAnsi="Courier New" w:cs="Arial"/>
      <w:szCs w:val="22"/>
      <w:lang w:val="sl-SI" w:eastAsia="sl-SI"/>
    </w:rPr>
  </w:style>
  <w:style w:type="character" w:customStyle="1" w:styleId="GolobesediloZnak">
    <w:name w:val="Golo besedilo Znak"/>
    <w:basedOn w:val="Privzetapisavaodstavka"/>
    <w:link w:val="Golobesedilo"/>
    <w:rsid w:val="0055206D"/>
    <w:rPr>
      <w:rFonts w:ascii="Courier New" w:hAnsi="Courier New" w:cs="Arial"/>
      <w:szCs w:val="22"/>
    </w:rPr>
  </w:style>
  <w:style w:type="character" w:styleId="Krepko">
    <w:name w:val="Strong"/>
    <w:basedOn w:val="Privzetapisavaodstavka"/>
    <w:uiPriority w:val="22"/>
    <w:qFormat/>
    <w:rsid w:val="0055206D"/>
    <w:rPr>
      <w:b/>
      <w:bCs/>
    </w:rPr>
  </w:style>
  <w:style w:type="paragraph" w:styleId="Sprotnaopomba-besedilo">
    <w:name w:val="footnote text"/>
    <w:basedOn w:val="Navaden"/>
    <w:link w:val="Sprotnaopomba-besediloZnak"/>
    <w:uiPriority w:val="99"/>
    <w:semiHidden/>
    <w:unhideWhenUsed/>
    <w:rsid w:val="00382202"/>
    <w:pPr>
      <w:spacing w:line="240" w:lineRule="auto"/>
    </w:pPr>
    <w:rPr>
      <w:rFonts w:eastAsiaTheme="minorHAnsi" w:cs="Arial"/>
      <w:kern w:val="2"/>
      <w:szCs w:val="20"/>
      <w:lang w:val="sl-SI"/>
      <w14:ligatures w14:val="standardContextual"/>
    </w:rPr>
  </w:style>
  <w:style w:type="character" w:customStyle="1" w:styleId="Sprotnaopomba-besediloZnak">
    <w:name w:val="Sprotna opomba - besedilo Znak"/>
    <w:basedOn w:val="Privzetapisavaodstavka"/>
    <w:link w:val="Sprotnaopomba-besedilo"/>
    <w:uiPriority w:val="99"/>
    <w:semiHidden/>
    <w:rsid w:val="00382202"/>
    <w:rPr>
      <w:rFonts w:ascii="Arial" w:eastAsiaTheme="minorHAnsi" w:hAnsi="Arial" w:cs="Arial"/>
      <w:kern w:val="2"/>
      <w:lang w:eastAsia="en-US"/>
      <w14:ligatures w14:val="standardContextual"/>
    </w:rPr>
  </w:style>
  <w:style w:type="character" w:styleId="Sprotnaopomba-sklic">
    <w:name w:val="footnote reference"/>
    <w:basedOn w:val="Privzetapisavaodstavka"/>
    <w:uiPriority w:val="99"/>
    <w:semiHidden/>
    <w:unhideWhenUsed/>
    <w:rsid w:val="00382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05129-4493-4762-B20F-94013FFA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83</TotalTime>
  <Pages>3</Pages>
  <Words>1112</Words>
  <Characters>6342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FURS</cp:lastModifiedBy>
  <cp:revision>32</cp:revision>
  <cp:lastPrinted>2024-09-13T08:52:00Z</cp:lastPrinted>
  <dcterms:created xsi:type="dcterms:W3CDTF">2024-02-15T13:16:00Z</dcterms:created>
  <dcterms:modified xsi:type="dcterms:W3CDTF">2024-09-13T09:16:00Z</dcterms:modified>
</cp:coreProperties>
</file>