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CCA5" w14:textId="7C76530D" w:rsidR="00B224B7" w:rsidRDefault="00B224B7" w:rsidP="00E42FD5">
      <w:pPr>
        <w:pStyle w:val="datumtevilka"/>
        <w:jc w:val="both"/>
      </w:pPr>
    </w:p>
    <w:p w14:paraId="625D2443" w14:textId="77777777" w:rsidR="00815E12" w:rsidRDefault="00815E12" w:rsidP="00E42FD5">
      <w:pPr>
        <w:pStyle w:val="datumtevilka"/>
        <w:jc w:val="both"/>
      </w:pPr>
    </w:p>
    <w:p w14:paraId="7E4E3010" w14:textId="18AA334E" w:rsidR="000A2C92" w:rsidRPr="00815E12" w:rsidRDefault="00815E12" w:rsidP="00E42FD5">
      <w:pPr>
        <w:pStyle w:val="datumtevilka"/>
        <w:jc w:val="both"/>
        <w:rPr>
          <w:b/>
          <w:bCs/>
        </w:rPr>
      </w:pPr>
      <w:r w:rsidRPr="00815E12">
        <w:rPr>
          <w:b/>
          <w:bCs/>
        </w:rPr>
        <w:t>Spremembe davčne obravnave rezervacij na podlagi novele ZDDPO-2S</w:t>
      </w:r>
    </w:p>
    <w:p w14:paraId="60E9B217" w14:textId="703A0247" w:rsidR="007D75CF" w:rsidRPr="00815E12" w:rsidRDefault="00815E12" w:rsidP="00E42FD5">
      <w:pPr>
        <w:pStyle w:val="datumtevilka"/>
        <w:jc w:val="both"/>
        <w:rPr>
          <w:b/>
        </w:rPr>
      </w:pPr>
      <w:r w:rsidRPr="00815E12">
        <w:rPr>
          <w:b/>
        </w:rPr>
        <w:t xml:space="preserve">Pojasnilo FURS št. </w:t>
      </w:r>
      <w:bookmarkStart w:id="0" w:name="Klasifikacija"/>
      <w:r w:rsidR="005A6D07" w:rsidRPr="00815E12">
        <w:rPr>
          <w:b/>
        </w:rPr>
        <w:t>0920-287/2023-2</w:t>
      </w:r>
      <w:bookmarkEnd w:id="0"/>
      <w:r w:rsidRPr="00815E12">
        <w:rPr>
          <w:b/>
        </w:rPr>
        <w:t xml:space="preserve">, z dne </w:t>
      </w:r>
      <w:bookmarkStart w:id="1" w:name="DatumDokumenta"/>
      <w:r w:rsidR="005A6D07" w:rsidRPr="00815E12">
        <w:rPr>
          <w:b/>
        </w:rPr>
        <w:t>16. 01. 2023</w:t>
      </w:r>
      <w:bookmarkEnd w:id="1"/>
    </w:p>
    <w:p w14:paraId="0062045C" w14:textId="2A451900" w:rsidR="007D75CF" w:rsidRDefault="007D75CF" w:rsidP="00E42FD5">
      <w:pPr>
        <w:jc w:val="both"/>
        <w:rPr>
          <w:lang w:val="sl-SI"/>
        </w:rPr>
      </w:pPr>
    </w:p>
    <w:p w14:paraId="12FB5F4A" w14:textId="77777777" w:rsidR="007D75CF" w:rsidRDefault="007D75CF" w:rsidP="00E42FD5">
      <w:pPr>
        <w:jc w:val="both"/>
        <w:rPr>
          <w:lang w:val="sl-SI"/>
        </w:rPr>
      </w:pPr>
    </w:p>
    <w:p w14:paraId="5083536D" w14:textId="77777777" w:rsidR="00E22247" w:rsidRDefault="005A6D07" w:rsidP="00E42FD5">
      <w:pPr>
        <w:jc w:val="both"/>
        <w:rPr>
          <w:lang w:val="sl-SI"/>
        </w:rPr>
      </w:pPr>
      <w:r>
        <w:rPr>
          <w:lang w:val="sl-SI"/>
        </w:rPr>
        <w:t xml:space="preserve">V Uradnem listu Republike Slovenije št. 172 z dne 29.10.2021 je bil objavljen </w:t>
      </w:r>
      <w:hyperlink r:id="rId8" w:history="1">
        <w:r>
          <w:rPr>
            <w:rStyle w:val="Hiperpovezava"/>
            <w:lang w:val="sl-SI"/>
          </w:rPr>
          <w:t>Zakon o spremembah in dopolnitvah Zakona o davku od dohodkov pravnih oseb (v nadaljevanju: novela ZDDPO-2S)</w:t>
        </w:r>
      </w:hyperlink>
      <w:r>
        <w:rPr>
          <w:lang w:val="sl-SI"/>
        </w:rPr>
        <w:t xml:space="preserve">, ki je v veljavo stopil dan po objavi, uporabljati pa se je začel </w:t>
      </w:r>
      <w:r w:rsidRPr="00E42FD5">
        <w:rPr>
          <w:lang w:val="sl-SI"/>
        </w:rPr>
        <w:t>za davčna obdobja, ki se začnejo od vključno 1. januarja 2022.</w:t>
      </w:r>
      <w:r w:rsidR="00504B2D">
        <w:rPr>
          <w:lang w:val="sl-SI"/>
        </w:rPr>
        <w:t xml:space="preserve"> </w:t>
      </w:r>
      <w:r w:rsidR="004D05DF">
        <w:rPr>
          <w:lang w:val="sl-SI"/>
        </w:rPr>
        <w:t xml:space="preserve">Novela ZDDPO-2S je </w:t>
      </w:r>
      <w:r>
        <w:rPr>
          <w:lang w:val="sl-SI"/>
        </w:rPr>
        <w:t>med drugim poseg</w:t>
      </w:r>
      <w:r w:rsidR="004D05DF">
        <w:rPr>
          <w:lang w:val="sl-SI"/>
        </w:rPr>
        <w:t>la</w:t>
      </w:r>
      <w:r>
        <w:rPr>
          <w:lang w:val="sl-SI"/>
        </w:rPr>
        <w:t xml:space="preserve"> tudi v davčno obravnavo </w:t>
      </w:r>
      <w:r w:rsidR="00504B2D">
        <w:rPr>
          <w:lang w:val="sl-SI"/>
        </w:rPr>
        <w:t xml:space="preserve">oblikovanja </w:t>
      </w:r>
      <w:r>
        <w:rPr>
          <w:lang w:val="sl-SI"/>
        </w:rPr>
        <w:t>rezervacij</w:t>
      </w:r>
      <w:r w:rsidR="00CE26AA">
        <w:rPr>
          <w:lang w:val="sl-SI"/>
        </w:rPr>
        <w:t>,</w:t>
      </w:r>
      <w:r w:rsidR="004D05DF">
        <w:rPr>
          <w:lang w:val="sl-SI"/>
        </w:rPr>
        <w:t xml:space="preserve"> in sicer je preoblikovala prvi in drugi odstavek 20. člena </w:t>
      </w:r>
      <w:hyperlink r:id="rId9" w:history="1">
        <w:r w:rsidR="004D05DF">
          <w:rPr>
            <w:rStyle w:val="Hiperpovezava"/>
            <w:lang w:val="sl-SI"/>
          </w:rPr>
          <w:t>Zakona o davku od dohodkov pravnih oseb - ZDDPO-2</w:t>
        </w:r>
      </w:hyperlink>
      <w:r w:rsidR="004D05DF">
        <w:rPr>
          <w:lang w:val="sl-SI"/>
        </w:rPr>
        <w:t xml:space="preserve"> ter </w:t>
      </w:r>
      <w:r w:rsidR="00504B2D">
        <w:rPr>
          <w:lang w:val="sl-SI"/>
        </w:rPr>
        <w:t>s prehodno določbo iz 18. člena</w:t>
      </w:r>
      <w:r w:rsidR="00990B38">
        <w:rPr>
          <w:lang w:val="sl-SI"/>
        </w:rPr>
        <w:t xml:space="preserve"> novele</w:t>
      </w:r>
      <w:r w:rsidR="00504B2D">
        <w:rPr>
          <w:lang w:val="sl-SI"/>
        </w:rPr>
        <w:t>, za davčna obdobja od 2022 do 2026, posebej določila davčno obravnavo treh vrst rezervacij, ki je sicer urejena v drugem odstavku 20. člena ZDDPO-2.</w:t>
      </w:r>
    </w:p>
    <w:p w14:paraId="5924699E" w14:textId="77777777" w:rsidR="00504B2D" w:rsidRDefault="00504B2D" w:rsidP="00E42FD5">
      <w:pPr>
        <w:jc w:val="both"/>
        <w:rPr>
          <w:lang w:val="sl-SI"/>
        </w:rPr>
      </w:pPr>
    </w:p>
    <w:p w14:paraId="64F4B740" w14:textId="77777777" w:rsidR="000C46A1" w:rsidRDefault="005A6D07" w:rsidP="00E42FD5">
      <w:pPr>
        <w:jc w:val="both"/>
        <w:rPr>
          <w:lang w:val="sl-SI"/>
        </w:rPr>
      </w:pPr>
      <w:r>
        <w:rPr>
          <w:lang w:val="sl-SI"/>
        </w:rPr>
        <w:t>Na splošno vas zanima</w:t>
      </w:r>
      <w:r w:rsidR="00CE26AA">
        <w:rPr>
          <w:lang w:val="sl-SI"/>
        </w:rPr>
        <w:t>,</w:t>
      </w:r>
      <w:r>
        <w:rPr>
          <w:lang w:val="sl-SI"/>
        </w:rPr>
        <w:t xml:space="preserve"> na kakšen način se spreminja davčna obravnava rezervacij na podlagi novele ZDDPO-2S, konkretneje pa želite odgovor na naslednja vprašanja</w:t>
      </w:r>
      <w:r w:rsidR="00990B38">
        <w:rPr>
          <w:lang w:val="sl-SI"/>
        </w:rPr>
        <w:t xml:space="preserve"> v povezavi s prehodno določbo</w:t>
      </w:r>
      <w:r>
        <w:rPr>
          <w:lang w:val="sl-SI"/>
        </w:rPr>
        <w:t>:</w:t>
      </w:r>
    </w:p>
    <w:p w14:paraId="1B26FED3" w14:textId="77777777" w:rsidR="000E4C1D" w:rsidRPr="008C7088" w:rsidRDefault="000E4C1D" w:rsidP="008C7088">
      <w:pPr>
        <w:jc w:val="both"/>
        <w:rPr>
          <w:lang w:val="sl-SI"/>
        </w:rPr>
      </w:pPr>
    </w:p>
    <w:p w14:paraId="420A9FB2" w14:textId="77777777" w:rsidR="000C336A" w:rsidRDefault="005A6D07" w:rsidP="00E42FD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Ali se v povezavi s prehodno določbo 18. člena ZDDPO-2S </w:t>
      </w:r>
      <w:r w:rsidR="008C7088">
        <w:rPr>
          <w:lang w:val="sl-SI"/>
        </w:rPr>
        <w:t>enako obravnavajo vse v posameznem davčnem obdobju oblikovane rezervacije, torej tako tekoče oblikovane kot tudi rezervacije, ki bi morale biti oblikovane v predhodnih davčnih obdobjih, pa zaradi napake ali drugačne računovodske usmeritve niso bile oblikovane ali so bile oblikovane v prenizki višini</w:t>
      </w:r>
      <w:r>
        <w:rPr>
          <w:rStyle w:val="Sprotnaopomba-sklic"/>
          <w:lang w:val="sl-SI"/>
        </w:rPr>
        <w:footnoteReference w:id="1"/>
      </w:r>
      <w:r w:rsidR="008C7088">
        <w:rPr>
          <w:lang w:val="sl-SI"/>
        </w:rPr>
        <w:t>.</w:t>
      </w:r>
    </w:p>
    <w:p w14:paraId="2C9D4E9A" w14:textId="77777777" w:rsidR="008C7088" w:rsidRDefault="005A6D07" w:rsidP="008C7088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Ali se v povezavi s prehodno določbo 18. člena ZDDPO-2S enako obravnavajo vse v posameznem davčnem obdobju tekoče oblikovane rezervacije, torej tako rezervacije oblikovane prek IPI kot rezervacije oblikovane na podlagi aktuarskega izračuna prek kapitala.</w:t>
      </w:r>
    </w:p>
    <w:p w14:paraId="29DD22BE" w14:textId="77777777" w:rsidR="00E22247" w:rsidRDefault="005A6D07" w:rsidP="00E42FD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Ali lahko </w:t>
      </w:r>
      <w:r w:rsidR="00A41335">
        <w:rPr>
          <w:lang w:val="sl-SI"/>
        </w:rPr>
        <w:t>zavezanci</w:t>
      </w:r>
      <w:r w:rsidRPr="004C3966">
        <w:rPr>
          <w:lang w:val="sl-SI"/>
        </w:rPr>
        <w:t xml:space="preserve">, ki so v </w:t>
      </w:r>
      <w:r>
        <w:rPr>
          <w:lang w:val="sl-SI"/>
        </w:rPr>
        <w:t xml:space="preserve">davčnih obdobjih pred 2022 </w:t>
      </w:r>
      <w:r w:rsidRPr="004C3966">
        <w:rPr>
          <w:lang w:val="sl-SI"/>
        </w:rPr>
        <w:t>že oblikoval</w:t>
      </w:r>
      <w:r w:rsidR="00A41335">
        <w:rPr>
          <w:lang w:val="sl-SI"/>
        </w:rPr>
        <w:t>i</w:t>
      </w:r>
      <w:r w:rsidRPr="004C3966">
        <w:rPr>
          <w:lang w:val="sl-SI"/>
        </w:rPr>
        <w:t xml:space="preserve"> rezervacije</w:t>
      </w:r>
      <w:r>
        <w:rPr>
          <w:lang w:val="sl-SI"/>
        </w:rPr>
        <w:t xml:space="preserve"> iz prehodne določbe</w:t>
      </w:r>
      <w:r w:rsidRPr="004C3966">
        <w:rPr>
          <w:lang w:val="sl-SI"/>
        </w:rPr>
        <w:t xml:space="preserve"> </w:t>
      </w:r>
      <w:r>
        <w:rPr>
          <w:lang w:val="sl-SI"/>
        </w:rPr>
        <w:t>18. člena ZDDPO-2S</w:t>
      </w:r>
      <w:r w:rsidRPr="004C3966">
        <w:rPr>
          <w:lang w:val="sl-SI"/>
        </w:rPr>
        <w:t xml:space="preserve"> in so le-te kot odhodek uvel</w:t>
      </w:r>
      <w:r>
        <w:rPr>
          <w:lang w:val="sl-SI"/>
        </w:rPr>
        <w:t>j</w:t>
      </w:r>
      <w:r w:rsidRPr="004C3966">
        <w:rPr>
          <w:lang w:val="sl-SI"/>
        </w:rPr>
        <w:t>a</w:t>
      </w:r>
      <w:r>
        <w:rPr>
          <w:lang w:val="sl-SI"/>
        </w:rPr>
        <w:t>v</w:t>
      </w:r>
      <w:r w:rsidRPr="004C3966">
        <w:rPr>
          <w:lang w:val="sl-SI"/>
        </w:rPr>
        <w:t>ljale zgolj v višini 50 %</w:t>
      </w:r>
      <w:r>
        <w:rPr>
          <w:lang w:val="sl-SI"/>
        </w:rPr>
        <w:t>, na podlagi prehodne določbe uveljavijo še preostalih 50%.</w:t>
      </w:r>
    </w:p>
    <w:p w14:paraId="238AA0BA" w14:textId="77777777" w:rsidR="00EA4738" w:rsidRPr="004C3966" w:rsidRDefault="005A6D07" w:rsidP="00E42FD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Ali </w:t>
      </w:r>
      <w:r w:rsidR="00A41335">
        <w:rPr>
          <w:lang w:val="sl-SI"/>
        </w:rPr>
        <w:t>zavezanci</w:t>
      </w:r>
      <w:r>
        <w:rPr>
          <w:lang w:val="sl-SI"/>
        </w:rPr>
        <w:t xml:space="preserve">, ki </w:t>
      </w:r>
      <w:r w:rsidR="00A41335">
        <w:rPr>
          <w:lang w:val="sl-SI"/>
        </w:rPr>
        <w:t xml:space="preserve">sicer </w:t>
      </w:r>
      <w:r>
        <w:rPr>
          <w:lang w:val="sl-SI"/>
        </w:rPr>
        <w:t>oblikujejo rezervacije iz 18. člena ZDDPO-2S</w:t>
      </w:r>
      <w:r w:rsidR="00A41335">
        <w:rPr>
          <w:lang w:val="sl-SI"/>
        </w:rPr>
        <w:t>, izgubijo pravico do uveljavljanja 50% odhodkov ob porabi, če bodo ob oblikovanju rezervacij uveljavljali le 50% odhodkov in ne 100% kot jim omogoča prehodna določba</w:t>
      </w:r>
      <w:r>
        <w:rPr>
          <w:rStyle w:val="Sprotnaopomba-sklic"/>
          <w:lang w:val="sl-SI"/>
        </w:rPr>
        <w:footnoteReference w:id="2"/>
      </w:r>
      <w:r w:rsidR="00A41335">
        <w:rPr>
          <w:lang w:val="sl-SI"/>
        </w:rPr>
        <w:t>.</w:t>
      </w:r>
    </w:p>
    <w:p w14:paraId="1844C0E9" w14:textId="77777777" w:rsidR="00E22247" w:rsidRPr="00E22247" w:rsidRDefault="00E22247" w:rsidP="00E42FD5">
      <w:pPr>
        <w:jc w:val="both"/>
        <w:rPr>
          <w:lang w:val="sl-SI"/>
        </w:rPr>
      </w:pPr>
    </w:p>
    <w:p w14:paraId="20A96D1C" w14:textId="77777777" w:rsidR="00E22247" w:rsidRDefault="005A6D07" w:rsidP="00E42FD5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1ECB8312" w14:textId="77777777" w:rsidR="00E22247" w:rsidRDefault="00E22247" w:rsidP="00E42FD5">
      <w:pPr>
        <w:jc w:val="both"/>
        <w:rPr>
          <w:lang w:val="sl-SI"/>
        </w:rPr>
      </w:pPr>
    </w:p>
    <w:p w14:paraId="0070105A" w14:textId="77777777" w:rsidR="00E22247" w:rsidRDefault="005A6D07" w:rsidP="00E42FD5">
      <w:pPr>
        <w:jc w:val="both"/>
        <w:rPr>
          <w:lang w:val="sl-SI"/>
        </w:rPr>
      </w:pPr>
      <w:r>
        <w:rPr>
          <w:lang w:val="sl-SI"/>
        </w:rPr>
        <w:t>Preoblikovani 20. člen</w:t>
      </w:r>
      <w:r w:rsidR="00822186">
        <w:rPr>
          <w:lang w:val="sl-SI"/>
        </w:rPr>
        <w:t xml:space="preserve"> </w:t>
      </w:r>
      <w:r w:rsidR="00822186" w:rsidRPr="00DE28F3">
        <w:rPr>
          <w:lang w:val="sl-SI"/>
        </w:rPr>
        <w:t xml:space="preserve">ZDDPO-2 </w:t>
      </w:r>
      <w:r w:rsidR="00822186">
        <w:rPr>
          <w:lang w:val="sl-SI"/>
        </w:rPr>
        <w:t xml:space="preserve">določa, da </w:t>
      </w:r>
      <w:r w:rsidR="00822186" w:rsidRPr="00DE28F3">
        <w:rPr>
          <w:lang w:val="sl-SI"/>
        </w:rPr>
        <w:t xml:space="preserve">se </w:t>
      </w:r>
      <w:r w:rsidR="00822186">
        <w:rPr>
          <w:lang w:val="sl-SI"/>
        </w:rPr>
        <w:t xml:space="preserve">odhodki ob oblikovanju rezervacij za davčne namene priznajo v </w:t>
      </w:r>
      <w:r w:rsidR="009441E7">
        <w:rPr>
          <w:lang w:val="sl-SI"/>
        </w:rPr>
        <w:t xml:space="preserve">obsegu, v katerem so v poslovnih knjigah pripoznani (obračunani) na podlagi računovodskih standardov. Izjema so </w:t>
      </w:r>
      <w:r w:rsidR="00822186" w:rsidRPr="00DE28F3">
        <w:rPr>
          <w:lang w:val="sl-SI"/>
        </w:rPr>
        <w:t>rezervacij</w:t>
      </w:r>
      <w:r w:rsidR="009441E7">
        <w:rPr>
          <w:lang w:val="sl-SI"/>
        </w:rPr>
        <w:t>e</w:t>
      </w:r>
      <w:r w:rsidR="00822186" w:rsidRPr="00DE28F3">
        <w:rPr>
          <w:lang w:val="sl-SI"/>
        </w:rPr>
        <w:t xml:space="preserve"> za dana jamstva ob prodaji proizvodov ali </w:t>
      </w:r>
      <w:r w:rsidR="009441E7">
        <w:rPr>
          <w:lang w:val="sl-SI"/>
        </w:rPr>
        <w:t>opravljanju</w:t>
      </w:r>
      <w:r w:rsidR="00822186" w:rsidRPr="00DE28F3">
        <w:rPr>
          <w:lang w:val="sl-SI"/>
        </w:rPr>
        <w:t xml:space="preserve"> storitev, rezervacij</w:t>
      </w:r>
      <w:r w:rsidR="00990B38">
        <w:rPr>
          <w:lang w:val="sl-SI"/>
        </w:rPr>
        <w:t>e</w:t>
      </w:r>
      <w:r w:rsidR="00822186" w:rsidRPr="00DE28F3">
        <w:rPr>
          <w:lang w:val="sl-SI"/>
        </w:rPr>
        <w:t xml:space="preserve"> za reorganizacijo, rezervacij</w:t>
      </w:r>
      <w:r w:rsidR="00990B38">
        <w:rPr>
          <w:lang w:val="sl-SI"/>
        </w:rPr>
        <w:t>e</w:t>
      </w:r>
      <w:r w:rsidR="00822186" w:rsidRPr="00DE28F3">
        <w:rPr>
          <w:lang w:val="sl-SI"/>
        </w:rPr>
        <w:t xml:space="preserve"> za pričakovane izgube iz kočljivih pogodb, rezervacij za pokojnine, rezervacij za jubilejne nagrade in rezervacij za odpravnine ob upokojitvi, pri kater</w:t>
      </w:r>
      <w:r w:rsidR="009441E7">
        <w:rPr>
          <w:lang w:val="sl-SI"/>
        </w:rPr>
        <w:t>i</w:t>
      </w:r>
      <w:r w:rsidR="00822186" w:rsidRPr="00DE28F3">
        <w:rPr>
          <w:lang w:val="sl-SI"/>
        </w:rPr>
        <w:t>h se poslovni odhodki pri oblikovanju</w:t>
      </w:r>
      <w:r w:rsidR="00990B38">
        <w:rPr>
          <w:lang w:val="sl-SI"/>
        </w:rPr>
        <w:t xml:space="preserve"> navedenih rezervacij</w:t>
      </w:r>
      <w:r w:rsidR="00822186" w:rsidRPr="00DE28F3">
        <w:rPr>
          <w:lang w:val="sl-SI"/>
        </w:rPr>
        <w:t xml:space="preserve"> davčno priznajo v višini 50%. Preostalih 50% odhodkov se prizna ob </w:t>
      </w:r>
      <w:r w:rsidR="00990B38">
        <w:rPr>
          <w:lang w:val="sl-SI"/>
        </w:rPr>
        <w:t xml:space="preserve">njihovi </w:t>
      </w:r>
      <w:r w:rsidR="00822186" w:rsidRPr="00DE28F3">
        <w:rPr>
          <w:lang w:val="sl-SI"/>
        </w:rPr>
        <w:t>porabi.</w:t>
      </w:r>
      <w:r w:rsidR="009441E7">
        <w:rPr>
          <w:lang w:val="sl-SI"/>
        </w:rPr>
        <w:t xml:space="preserve"> Na opisan način je davčni organ obravnaval navedene rezervacije že pred novelo ZDDPO-2S.</w:t>
      </w:r>
    </w:p>
    <w:p w14:paraId="662FF2C2" w14:textId="77777777" w:rsidR="009441E7" w:rsidRDefault="009441E7" w:rsidP="00E42FD5">
      <w:pPr>
        <w:jc w:val="both"/>
        <w:rPr>
          <w:lang w:val="sl-SI"/>
        </w:rPr>
      </w:pPr>
    </w:p>
    <w:p w14:paraId="5880E0CE" w14:textId="77777777" w:rsidR="00377950" w:rsidRDefault="005A6D07" w:rsidP="00E42FD5">
      <w:pPr>
        <w:jc w:val="both"/>
        <w:rPr>
          <w:lang w:val="sl-SI"/>
        </w:rPr>
      </w:pPr>
      <w:r>
        <w:rPr>
          <w:lang w:val="sl-SI"/>
        </w:rPr>
        <w:lastRenderedPageBreak/>
        <w:t xml:space="preserve">Do dejanske spremembe davčne obravnave rezervacij zaradi novele ZDDPO-2S prihaja pri </w:t>
      </w:r>
      <w:r w:rsidR="00EC02F8">
        <w:rPr>
          <w:lang w:val="sl-SI"/>
        </w:rPr>
        <w:t xml:space="preserve">rezervacijah oblikovanih na </w:t>
      </w:r>
      <w:r w:rsidR="00EC02F8" w:rsidRPr="00EC02F8">
        <w:rPr>
          <w:lang w:val="sl-SI"/>
        </w:rPr>
        <w:t>podlagi ocene stroškov razgradnje, odstranitve in obnovitve mesta</w:t>
      </w:r>
      <w:r w:rsidR="00EC02F8">
        <w:rPr>
          <w:lang w:val="sl-SI"/>
        </w:rPr>
        <w:t xml:space="preserve"> iz sedmega odstavka 33. člena ZDDPO-2</w:t>
      </w:r>
      <w:r w:rsidR="00C8347A">
        <w:rPr>
          <w:lang w:val="sl-SI"/>
        </w:rPr>
        <w:t xml:space="preserve"> (v nadaljevanju: ROO rezervacije)</w:t>
      </w:r>
      <w:r w:rsidR="00EC02F8">
        <w:rPr>
          <w:lang w:val="sl-SI"/>
        </w:rPr>
        <w:t xml:space="preserve">. Pred uveljavitvijo novele so se odhodki iz naslova </w:t>
      </w:r>
      <w:r w:rsidR="001D5534">
        <w:rPr>
          <w:lang w:val="sl-SI"/>
        </w:rPr>
        <w:t>ROO</w:t>
      </w:r>
      <w:r w:rsidR="00EC02F8">
        <w:rPr>
          <w:lang w:val="sl-SI"/>
        </w:rPr>
        <w:t xml:space="preserve"> rezervacij, davčno priznavali </w:t>
      </w:r>
      <w:r w:rsidR="00B713EC">
        <w:rPr>
          <w:lang w:val="sl-SI"/>
        </w:rPr>
        <w:t xml:space="preserve">v višini </w:t>
      </w:r>
      <w:r w:rsidR="00EC02F8">
        <w:rPr>
          <w:lang w:val="sl-SI"/>
        </w:rPr>
        <w:t xml:space="preserve">50% ob pripoznanju odhodkov </w:t>
      </w:r>
      <w:r w:rsidR="001D5534">
        <w:rPr>
          <w:lang w:val="sl-SI"/>
        </w:rPr>
        <w:t xml:space="preserve">iz naslova </w:t>
      </w:r>
      <w:r w:rsidR="00B713EC">
        <w:rPr>
          <w:lang w:val="sl-SI"/>
        </w:rPr>
        <w:t xml:space="preserve">amortizacije </w:t>
      </w:r>
      <w:r w:rsidR="001D5534">
        <w:rPr>
          <w:lang w:val="sl-SI"/>
        </w:rPr>
        <w:t>usredstvenih v naprej obračunanih odhodkov</w:t>
      </w:r>
      <w:r w:rsidR="00EC02F8">
        <w:rPr>
          <w:lang w:val="sl-SI"/>
        </w:rPr>
        <w:t xml:space="preserve">, 50% pa ob porabi </w:t>
      </w:r>
      <w:r w:rsidR="001D5534">
        <w:rPr>
          <w:lang w:val="sl-SI"/>
        </w:rPr>
        <w:t xml:space="preserve">ROO </w:t>
      </w:r>
      <w:r w:rsidR="00E976BC">
        <w:rPr>
          <w:lang w:val="sl-SI"/>
        </w:rPr>
        <w:t xml:space="preserve">rezervacij, torej ob dejansko nastalih izdatkih </w:t>
      </w:r>
      <w:r w:rsidR="00E976BC" w:rsidRPr="00EC02F8">
        <w:rPr>
          <w:lang w:val="sl-SI"/>
        </w:rPr>
        <w:t>razgradnje, odstranitve in obnovitve mesta</w:t>
      </w:r>
      <w:r w:rsidR="00E976BC">
        <w:rPr>
          <w:lang w:val="sl-SI"/>
        </w:rPr>
        <w:t xml:space="preserve">. </w:t>
      </w:r>
      <w:r w:rsidR="00C8347A">
        <w:rPr>
          <w:lang w:val="sl-SI"/>
        </w:rPr>
        <w:t>Z novelo se davčna obravnava teh rezervacij spreminja</w:t>
      </w:r>
      <w:r w:rsidR="00CE26AA">
        <w:rPr>
          <w:lang w:val="sl-SI"/>
        </w:rPr>
        <w:t>,</w:t>
      </w:r>
      <w:r w:rsidR="00C8347A">
        <w:rPr>
          <w:lang w:val="sl-SI"/>
        </w:rPr>
        <w:t xml:space="preserve"> in sicer se odhodki iz naslova ROO rezervacij davčno priznajo v obsegu 100% ob </w:t>
      </w:r>
      <w:r w:rsidR="001D5534">
        <w:rPr>
          <w:lang w:val="sl-SI"/>
        </w:rPr>
        <w:t xml:space="preserve">pripoznanju odhodkov iz naslova </w:t>
      </w:r>
      <w:r w:rsidR="00C42E77">
        <w:rPr>
          <w:lang w:val="sl-SI"/>
        </w:rPr>
        <w:t>amortizacij</w:t>
      </w:r>
      <w:r w:rsidR="001D5534">
        <w:rPr>
          <w:lang w:val="sl-SI"/>
        </w:rPr>
        <w:t>e.</w:t>
      </w:r>
    </w:p>
    <w:p w14:paraId="633D2C74" w14:textId="77777777" w:rsidR="001D5534" w:rsidRDefault="001D5534" w:rsidP="00E42FD5">
      <w:pPr>
        <w:jc w:val="both"/>
        <w:rPr>
          <w:lang w:val="sl-SI"/>
        </w:rPr>
      </w:pPr>
    </w:p>
    <w:p w14:paraId="3CDF5461" w14:textId="77777777" w:rsidR="00633FFE" w:rsidRDefault="005A6D07" w:rsidP="00633FFE">
      <w:pPr>
        <w:jc w:val="both"/>
        <w:rPr>
          <w:lang w:val="sl-SI"/>
        </w:rPr>
      </w:pPr>
      <w:r w:rsidRPr="00C87E54">
        <w:rPr>
          <w:lang w:val="sl-SI"/>
        </w:rPr>
        <w:t>V skladu z 18. členom novele ZDDPO-2S se oblikovanje rezervacij za pokojnine</w:t>
      </w:r>
      <w:r w:rsidR="00AD69E0">
        <w:rPr>
          <w:lang w:val="sl-SI"/>
        </w:rPr>
        <w:t xml:space="preserve">, </w:t>
      </w:r>
      <w:r w:rsidRPr="00C87E54">
        <w:rPr>
          <w:lang w:val="sl-SI"/>
        </w:rPr>
        <w:t>jubilejne nagrade in odpravnine ob upokojitvi</w:t>
      </w:r>
      <w:r>
        <w:rPr>
          <w:lang w:val="sl-SI"/>
        </w:rPr>
        <w:t xml:space="preserve"> (v nadaljevanju: PJO rezervacije)</w:t>
      </w:r>
      <w:r w:rsidRPr="00C87E54">
        <w:rPr>
          <w:lang w:val="sl-SI"/>
        </w:rPr>
        <w:t>, prizna kot odhodek v obračunanem znesku, ki ustreza 100 % oblikovanih rezervacij v vsakem posameznem davčnem obdobju, ki se začne od 1. januarja 2022 do 31. decembra 2026.</w:t>
      </w:r>
      <w:r>
        <w:rPr>
          <w:lang w:val="sl-SI"/>
        </w:rPr>
        <w:t xml:space="preserve"> </w:t>
      </w:r>
      <w:r w:rsidRPr="00C87E54">
        <w:rPr>
          <w:lang w:val="sl-SI"/>
        </w:rPr>
        <w:t xml:space="preserve">To pomeni, da zavezanec v </w:t>
      </w:r>
      <w:r w:rsidR="00AD69E0">
        <w:rPr>
          <w:lang w:val="sl-SI"/>
        </w:rPr>
        <w:t>davčnih obdobjih od</w:t>
      </w:r>
      <w:r w:rsidRPr="00C87E54">
        <w:rPr>
          <w:lang w:val="sl-SI"/>
        </w:rPr>
        <w:t xml:space="preserve"> 2022 do 2026</w:t>
      </w:r>
      <w:r w:rsidR="00AD69E0">
        <w:rPr>
          <w:lang w:val="sl-SI"/>
        </w:rPr>
        <w:t xml:space="preserve"> (v nadaljevanju: prehodno obdobje)</w:t>
      </w:r>
      <w:r w:rsidRPr="00C87E54">
        <w:rPr>
          <w:lang w:val="sl-SI"/>
        </w:rPr>
        <w:t xml:space="preserve"> za davčne namene prizna odhodke iz naslova oblikovanja rezervacij za pokojnine, jubilejne nagrade in odpravnine ob upokojitvi v njihovi celotni višini že ob oblikovanju.</w:t>
      </w:r>
    </w:p>
    <w:p w14:paraId="5EB4D8D7" w14:textId="77777777" w:rsidR="00633FFE" w:rsidRDefault="00633FFE" w:rsidP="00633FFE">
      <w:pPr>
        <w:jc w:val="both"/>
        <w:rPr>
          <w:lang w:val="sl-SI"/>
        </w:rPr>
      </w:pPr>
    </w:p>
    <w:p w14:paraId="5AEF9482" w14:textId="77777777" w:rsidR="00633FFE" w:rsidRDefault="005A6D07" w:rsidP="00633FFE">
      <w:pPr>
        <w:jc w:val="both"/>
        <w:rPr>
          <w:lang w:val="sl-SI"/>
        </w:rPr>
      </w:pPr>
      <w:r w:rsidRPr="00F90452">
        <w:rPr>
          <w:b/>
          <w:bCs/>
          <w:lang w:val="sl-SI"/>
        </w:rPr>
        <w:t>Pod 1: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V</w:t>
      </w:r>
      <w:r w:rsidRPr="009D51D1">
        <w:rPr>
          <w:lang w:val="sl-SI"/>
        </w:rPr>
        <w:t xml:space="preserve"> povezavi s prehodno določbo 18. člena ZDDPO-2S </w:t>
      </w:r>
      <w:r>
        <w:rPr>
          <w:lang w:val="sl-SI"/>
        </w:rPr>
        <w:t xml:space="preserve">se </w:t>
      </w:r>
      <w:r w:rsidRPr="009D51D1">
        <w:rPr>
          <w:lang w:val="sl-SI"/>
        </w:rPr>
        <w:t xml:space="preserve">enako obravnavajo vse v </w:t>
      </w:r>
      <w:r>
        <w:rPr>
          <w:lang w:val="sl-SI"/>
        </w:rPr>
        <w:t>prehodnem</w:t>
      </w:r>
      <w:r w:rsidRPr="009D51D1">
        <w:rPr>
          <w:lang w:val="sl-SI"/>
        </w:rPr>
        <w:t xml:space="preserve"> obdobju oblikovane </w:t>
      </w:r>
      <w:r>
        <w:rPr>
          <w:lang w:val="sl-SI"/>
        </w:rPr>
        <w:t xml:space="preserve">PJO </w:t>
      </w:r>
      <w:r w:rsidRPr="009D51D1">
        <w:rPr>
          <w:lang w:val="sl-SI"/>
        </w:rPr>
        <w:t xml:space="preserve">rezervacije, </w:t>
      </w:r>
      <w:r>
        <w:rPr>
          <w:lang w:val="sl-SI"/>
        </w:rPr>
        <w:t>to pomeni</w:t>
      </w:r>
      <w:r w:rsidRPr="009D51D1">
        <w:rPr>
          <w:lang w:val="sl-SI"/>
        </w:rPr>
        <w:t xml:space="preserve"> tako </w:t>
      </w:r>
      <w:r>
        <w:rPr>
          <w:lang w:val="sl-SI"/>
        </w:rPr>
        <w:t>t</w:t>
      </w:r>
      <w:r w:rsidRPr="009D51D1">
        <w:rPr>
          <w:lang w:val="sl-SI"/>
        </w:rPr>
        <w:t>ekoče oblikovane rezervacije</w:t>
      </w:r>
      <w:r>
        <w:rPr>
          <w:lang w:val="sl-SI"/>
        </w:rPr>
        <w:t xml:space="preserve"> kot tudi rezervacije</w:t>
      </w:r>
      <w:r w:rsidRPr="009D51D1">
        <w:rPr>
          <w:lang w:val="sl-SI"/>
        </w:rPr>
        <w:t>, ki</w:t>
      </w:r>
      <w:r>
        <w:rPr>
          <w:lang w:val="sl-SI"/>
        </w:rPr>
        <w:t xml:space="preserve"> </w:t>
      </w:r>
      <w:r w:rsidRPr="009D51D1">
        <w:rPr>
          <w:lang w:val="sl-SI"/>
        </w:rPr>
        <w:t>bi sicer morale biti oblikovane v davčnih obdobjih</w:t>
      </w:r>
      <w:r>
        <w:rPr>
          <w:lang w:val="sl-SI"/>
        </w:rPr>
        <w:t xml:space="preserve"> pred prehodnim obdobjem</w:t>
      </w:r>
      <w:r w:rsidRPr="009D51D1">
        <w:rPr>
          <w:lang w:val="sl-SI"/>
        </w:rPr>
        <w:t xml:space="preserve">, pa zaradi napake ali drugačne računovodske usmeritve </w:t>
      </w:r>
      <w:r>
        <w:rPr>
          <w:lang w:val="sl-SI"/>
        </w:rPr>
        <w:t xml:space="preserve">pred začetkom prehodnega obdobja </w:t>
      </w:r>
      <w:r w:rsidRPr="009D51D1">
        <w:rPr>
          <w:lang w:val="sl-SI"/>
        </w:rPr>
        <w:t>niso bile oblikovane ali so bile oblikovane v prenizki višini.</w:t>
      </w:r>
    </w:p>
    <w:p w14:paraId="3421285A" w14:textId="77777777" w:rsidR="00633FFE" w:rsidRPr="009D51D1" w:rsidRDefault="00633FFE" w:rsidP="00633FFE">
      <w:pPr>
        <w:jc w:val="both"/>
        <w:rPr>
          <w:lang w:val="sl-SI"/>
        </w:rPr>
      </w:pPr>
    </w:p>
    <w:p w14:paraId="7715D876" w14:textId="77777777" w:rsidR="00633FFE" w:rsidRPr="009D51D1" w:rsidRDefault="005A6D07" w:rsidP="00633FFE">
      <w:pPr>
        <w:jc w:val="both"/>
        <w:rPr>
          <w:b/>
          <w:bCs/>
          <w:lang w:val="sl-SI"/>
        </w:rPr>
      </w:pPr>
      <w:r w:rsidRPr="009D51D1">
        <w:rPr>
          <w:b/>
          <w:bCs/>
          <w:lang w:val="sl-SI"/>
        </w:rPr>
        <w:t>Pod 2</w:t>
      </w:r>
      <w:r>
        <w:rPr>
          <w:b/>
          <w:bCs/>
          <w:lang w:val="sl-SI"/>
        </w:rPr>
        <w:t xml:space="preserve">: </w:t>
      </w:r>
      <w:r>
        <w:rPr>
          <w:lang w:val="sl-SI"/>
        </w:rPr>
        <w:t>V</w:t>
      </w:r>
      <w:r w:rsidRPr="009D51D1">
        <w:rPr>
          <w:lang w:val="sl-SI"/>
        </w:rPr>
        <w:t xml:space="preserve"> povezavi s prehodno določbo 18. člena ZDDPO-2S </w:t>
      </w:r>
      <w:r>
        <w:rPr>
          <w:lang w:val="sl-SI"/>
        </w:rPr>
        <w:t xml:space="preserve">se </w:t>
      </w:r>
      <w:r w:rsidRPr="009D51D1">
        <w:rPr>
          <w:lang w:val="sl-SI"/>
        </w:rPr>
        <w:t xml:space="preserve">enako obravnavajo vse v </w:t>
      </w:r>
      <w:r>
        <w:rPr>
          <w:lang w:val="sl-SI"/>
        </w:rPr>
        <w:t>prehodnem obdobju</w:t>
      </w:r>
      <w:r w:rsidRPr="009D51D1">
        <w:rPr>
          <w:lang w:val="sl-SI"/>
        </w:rPr>
        <w:t xml:space="preserve"> tekoče oblikovane </w:t>
      </w:r>
      <w:r>
        <w:rPr>
          <w:lang w:val="sl-SI"/>
        </w:rPr>
        <w:t xml:space="preserve">PJO </w:t>
      </w:r>
      <w:r w:rsidRPr="00C87E54">
        <w:rPr>
          <w:lang w:val="sl-SI"/>
        </w:rPr>
        <w:t>rezervacije</w:t>
      </w:r>
      <w:r>
        <w:rPr>
          <w:lang w:val="sl-SI"/>
        </w:rPr>
        <w:t>,</w:t>
      </w:r>
      <w:r w:rsidRPr="009D51D1">
        <w:rPr>
          <w:lang w:val="sl-SI"/>
        </w:rPr>
        <w:t xml:space="preserve"> </w:t>
      </w:r>
      <w:r>
        <w:rPr>
          <w:lang w:val="sl-SI"/>
        </w:rPr>
        <w:t>to pomeni</w:t>
      </w:r>
      <w:r w:rsidRPr="009D51D1">
        <w:rPr>
          <w:lang w:val="sl-SI"/>
        </w:rPr>
        <w:t xml:space="preserve"> tako rezervacije oblikovane prek IPI kot</w:t>
      </w:r>
      <w:r>
        <w:rPr>
          <w:lang w:val="sl-SI"/>
        </w:rPr>
        <w:t xml:space="preserve"> tudi</w:t>
      </w:r>
      <w:r w:rsidRPr="009D51D1">
        <w:rPr>
          <w:lang w:val="sl-SI"/>
        </w:rPr>
        <w:t xml:space="preserve"> rezervacije oblikovane na podlagi aktuarskega izračuna prek kapitala.</w:t>
      </w:r>
    </w:p>
    <w:p w14:paraId="1C1E29EB" w14:textId="77777777" w:rsidR="00633FFE" w:rsidRDefault="00633FFE" w:rsidP="00633FFE">
      <w:pPr>
        <w:jc w:val="both"/>
        <w:rPr>
          <w:lang w:val="sl-SI"/>
        </w:rPr>
      </w:pPr>
    </w:p>
    <w:p w14:paraId="4C3AEA5F" w14:textId="77777777" w:rsidR="00633FFE" w:rsidRDefault="005A6D07" w:rsidP="00633FFE">
      <w:pPr>
        <w:jc w:val="both"/>
        <w:rPr>
          <w:lang w:val="sl-SI"/>
        </w:rPr>
      </w:pPr>
      <w:r w:rsidRPr="00787143">
        <w:rPr>
          <w:b/>
          <w:bCs/>
          <w:lang w:val="sl-SI"/>
        </w:rPr>
        <w:t>Pod 3:</w:t>
      </w:r>
      <w:r>
        <w:rPr>
          <w:b/>
          <w:bCs/>
          <w:lang w:val="sl-SI"/>
        </w:rPr>
        <w:t xml:space="preserve"> </w:t>
      </w:r>
      <w:r w:rsidRPr="00C87E54">
        <w:rPr>
          <w:lang w:val="sl-SI"/>
        </w:rPr>
        <w:t xml:space="preserve">Prehodna določba velja le za </w:t>
      </w:r>
      <w:r>
        <w:rPr>
          <w:lang w:val="sl-SI"/>
        </w:rPr>
        <w:t xml:space="preserve">PJO </w:t>
      </w:r>
      <w:r w:rsidRPr="00C87E54">
        <w:rPr>
          <w:lang w:val="sl-SI"/>
        </w:rPr>
        <w:t xml:space="preserve">rezervacije, ki bodo oblikovane v prehodnem obdobju. To pomeni, da zavezanci na podlagi prehodne določbe ne morejo spremeniti davčne obravnave </w:t>
      </w:r>
      <w:r>
        <w:rPr>
          <w:lang w:val="sl-SI"/>
        </w:rPr>
        <w:t>PJO</w:t>
      </w:r>
      <w:r w:rsidRPr="00C87E54">
        <w:rPr>
          <w:lang w:val="sl-SI"/>
        </w:rPr>
        <w:t xml:space="preserve"> rezervacij, ki so bile oblikovane pred začetkom prehodnega obdobja.</w:t>
      </w:r>
    </w:p>
    <w:p w14:paraId="0B3E1BBA" w14:textId="77777777" w:rsidR="00633FFE" w:rsidRDefault="00633FFE" w:rsidP="00633FFE">
      <w:pPr>
        <w:jc w:val="both"/>
        <w:rPr>
          <w:lang w:val="sl-SI"/>
        </w:rPr>
      </w:pPr>
    </w:p>
    <w:p w14:paraId="68BA608C" w14:textId="77777777" w:rsidR="00633FFE" w:rsidRPr="00C87E54" w:rsidRDefault="005A6D07" w:rsidP="00633FFE">
      <w:pPr>
        <w:jc w:val="both"/>
        <w:rPr>
          <w:lang w:val="sl-SI"/>
        </w:rPr>
      </w:pPr>
      <w:r w:rsidRPr="00787143">
        <w:rPr>
          <w:b/>
          <w:bCs/>
          <w:lang w:val="sl-SI"/>
        </w:rPr>
        <w:t>Pod 4:</w:t>
      </w:r>
      <w:r>
        <w:rPr>
          <w:b/>
          <w:bCs/>
          <w:lang w:val="sl-SI"/>
        </w:rPr>
        <w:t xml:space="preserve"> </w:t>
      </w:r>
      <w:r w:rsidRPr="00C87E54">
        <w:rPr>
          <w:lang w:val="sl-SI"/>
        </w:rPr>
        <w:t xml:space="preserve">Zavezanec, ki zaradi katerega koli razloga (npr. povečanega administrativnega bremena) ne bo izkoristil prehodne določbe in bo </w:t>
      </w:r>
      <w:r>
        <w:rPr>
          <w:lang w:val="sl-SI"/>
        </w:rPr>
        <w:t xml:space="preserve">odhodke iz naslova PJO </w:t>
      </w:r>
      <w:r w:rsidRPr="00C87E54">
        <w:rPr>
          <w:lang w:val="sl-SI"/>
        </w:rPr>
        <w:t xml:space="preserve">rezervacij tudi v prehodnem obdobju ob oblikovanju še vedno priznaval le v višini 50%, s takim ravnanjem ne bo izgubil pravice, da preostalih 50% davčnih odhodkov prizna ob porabi </w:t>
      </w:r>
      <w:r>
        <w:rPr>
          <w:lang w:val="sl-SI"/>
        </w:rPr>
        <w:t xml:space="preserve">teh </w:t>
      </w:r>
      <w:r w:rsidRPr="00C87E54">
        <w:rPr>
          <w:lang w:val="sl-SI"/>
        </w:rPr>
        <w:t>rezervacij.</w:t>
      </w:r>
    </w:p>
    <w:p w14:paraId="5116BA9E" w14:textId="77777777" w:rsidR="001D5534" w:rsidRPr="00BC2517" w:rsidRDefault="001D5534" w:rsidP="00E42FD5">
      <w:pPr>
        <w:jc w:val="both"/>
        <w:rPr>
          <w:lang w:val="sl-SI"/>
        </w:rPr>
      </w:pPr>
    </w:p>
    <w:sectPr w:rsidR="001D5534" w:rsidRPr="00BC2517" w:rsidSect="00F00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5DBB" w14:textId="77777777" w:rsidR="004D6BEE" w:rsidRDefault="004D6BEE">
      <w:pPr>
        <w:spacing w:line="240" w:lineRule="auto"/>
      </w:pPr>
      <w:r>
        <w:separator/>
      </w:r>
    </w:p>
  </w:endnote>
  <w:endnote w:type="continuationSeparator" w:id="0">
    <w:p w14:paraId="46BAB234" w14:textId="77777777" w:rsidR="004D6BEE" w:rsidRDefault="004D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6BE2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04B" w14:textId="77777777" w:rsidR="000B0B21" w:rsidRDefault="005A6D0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8116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8116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346" w14:textId="77777777" w:rsidR="000B0B21" w:rsidRDefault="005A6D07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8116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8116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1427" w14:textId="77777777" w:rsidR="004D6BEE" w:rsidRDefault="004D6BEE">
      <w:pPr>
        <w:spacing w:line="240" w:lineRule="auto"/>
      </w:pPr>
      <w:r>
        <w:separator/>
      </w:r>
    </w:p>
  </w:footnote>
  <w:footnote w:type="continuationSeparator" w:id="0">
    <w:p w14:paraId="33552561" w14:textId="77777777" w:rsidR="004D6BEE" w:rsidRDefault="004D6BEE">
      <w:pPr>
        <w:spacing w:line="240" w:lineRule="auto"/>
      </w:pPr>
      <w:r>
        <w:continuationSeparator/>
      </w:r>
    </w:p>
  </w:footnote>
  <w:footnote w:id="1">
    <w:p w14:paraId="65976E35" w14:textId="77777777" w:rsidR="008C7088" w:rsidRPr="008C7088" w:rsidRDefault="005A6D07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8C7088">
        <w:rPr>
          <w:lang w:val="it-IT"/>
        </w:rPr>
        <w:t xml:space="preserve"> </w:t>
      </w:r>
      <w:r>
        <w:rPr>
          <w:sz w:val="16"/>
          <w:szCs w:val="16"/>
          <w:lang w:val="sl-SI"/>
        </w:rPr>
        <w:t>Med slednje ne</w:t>
      </w:r>
      <w:r w:rsidRPr="008C7088">
        <w:rPr>
          <w:sz w:val="16"/>
          <w:szCs w:val="16"/>
          <w:lang w:val="sl-SI"/>
        </w:rPr>
        <w:t xml:space="preserve"> sodijo v posameznem davčnem obdobju tekoče oblikovane rezervacije na podlagi aktuarskega izračuna.</w:t>
      </w:r>
    </w:p>
  </w:footnote>
  <w:footnote w:id="2">
    <w:p w14:paraId="7D6BD339" w14:textId="77777777" w:rsidR="00A41335" w:rsidRPr="00A41335" w:rsidRDefault="005A6D0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624A49">
        <w:rPr>
          <w:lang w:val="sl-SI"/>
        </w:rPr>
        <w:t xml:space="preserve"> </w:t>
      </w:r>
      <w:r w:rsidR="00624A49" w:rsidRPr="00624A49">
        <w:rPr>
          <w:sz w:val="16"/>
          <w:szCs w:val="16"/>
          <w:lang w:val="sl-SI"/>
        </w:rPr>
        <w:t>Zavezancem prehodna določba ustvarja dodatno administrativno breme z vidika spremljanja davčnih vrednosti rezervacij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953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963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B7DB1" w14:paraId="0D0B55E9" w14:textId="77777777">
      <w:trPr>
        <w:cantSplit/>
        <w:trHeight w:hRule="exact" w:val="847"/>
      </w:trPr>
      <w:tc>
        <w:tcPr>
          <w:tcW w:w="567" w:type="dxa"/>
        </w:tcPr>
        <w:p w14:paraId="010DCA97" w14:textId="77777777" w:rsidR="000B0B21" w:rsidRDefault="005A6D0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921A15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37D0C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0B0B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98B6A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A4BBE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CA4BF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D106B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FA847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B8FD6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DF5F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55B82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864F9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A7254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4DBFB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C11F7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E1948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6EB89EA" w14:textId="77777777" w:rsidR="000B0B21" w:rsidRPr="008F3500" w:rsidRDefault="005A6D0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77B012" wp14:editId="6CAA8AB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5168750" w14:textId="77777777" w:rsidR="000B0B21" w:rsidRPr="00FD746A" w:rsidRDefault="005A6D0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1C51CF79" w14:textId="77777777" w:rsidR="00ED7E82" w:rsidRDefault="005A6D07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09910C68" w14:textId="77777777" w:rsidR="005254D1" w:rsidRPr="00A12D5C" w:rsidRDefault="005A6D07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1C95B525" w14:textId="77777777" w:rsidR="005254D1" w:rsidRPr="008F3500" w:rsidRDefault="005A6D07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6530B3B" w14:textId="77777777" w:rsidR="005254D1" w:rsidRPr="008F3500" w:rsidRDefault="005A6D07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2AE2B884" w14:textId="77777777" w:rsidR="005254D1" w:rsidRPr="008F3500" w:rsidRDefault="005A6D07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56CD70E0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1B365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205F6A" w:tentative="1">
      <w:start w:val="1"/>
      <w:numFmt w:val="lowerLetter"/>
      <w:lvlText w:val="%2."/>
      <w:lvlJc w:val="left"/>
      <w:pPr>
        <w:ind w:left="1800" w:hanging="360"/>
      </w:pPr>
    </w:lvl>
    <w:lvl w:ilvl="2" w:tplc="E2A2E276" w:tentative="1">
      <w:start w:val="1"/>
      <w:numFmt w:val="lowerRoman"/>
      <w:lvlText w:val="%3."/>
      <w:lvlJc w:val="right"/>
      <w:pPr>
        <w:ind w:left="2520" w:hanging="180"/>
      </w:pPr>
    </w:lvl>
    <w:lvl w:ilvl="3" w:tplc="7CD6C022" w:tentative="1">
      <w:start w:val="1"/>
      <w:numFmt w:val="decimal"/>
      <w:lvlText w:val="%4."/>
      <w:lvlJc w:val="left"/>
      <w:pPr>
        <w:ind w:left="3240" w:hanging="360"/>
      </w:pPr>
    </w:lvl>
    <w:lvl w:ilvl="4" w:tplc="67F21166" w:tentative="1">
      <w:start w:val="1"/>
      <w:numFmt w:val="lowerLetter"/>
      <w:lvlText w:val="%5."/>
      <w:lvlJc w:val="left"/>
      <w:pPr>
        <w:ind w:left="3960" w:hanging="360"/>
      </w:pPr>
    </w:lvl>
    <w:lvl w:ilvl="5" w:tplc="F6082C64" w:tentative="1">
      <w:start w:val="1"/>
      <w:numFmt w:val="lowerRoman"/>
      <w:lvlText w:val="%6."/>
      <w:lvlJc w:val="right"/>
      <w:pPr>
        <w:ind w:left="4680" w:hanging="180"/>
      </w:pPr>
    </w:lvl>
    <w:lvl w:ilvl="6" w:tplc="63C8594A" w:tentative="1">
      <w:start w:val="1"/>
      <w:numFmt w:val="decimal"/>
      <w:lvlText w:val="%7."/>
      <w:lvlJc w:val="left"/>
      <w:pPr>
        <w:ind w:left="5400" w:hanging="360"/>
      </w:pPr>
    </w:lvl>
    <w:lvl w:ilvl="7" w:tplc="D26E6DD2" w:tentative="1">
      <w:start w:val="1"/>
      <w:numFmt w:val="lowerLetter"/>
      <w:lvlText w:val="%8."/>
      <w:lvlJc w:val="left"/>
      <w:pPr>
        <w:ind w:left="6120" w:hanging="360"/>
      </w:pPr>
    </w:lvl>
    <w:lvl w:ilvl="8" w:tplc="8CF4F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C74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74B0F2" w:tentative="1">
      <w:start w:val="1"/>
      <w:numFmt w:val="lowerLetter"/>
      <w:lvlText w:val="%2."/>
      <w:lvlJc w:val="left"/>
      <w:pPr>
        <w:ind w:left="1080" w:hanging="360"/>
      </w:pPr>
    </w:lvl>
    <w:lvl w:ilvl="2" w:tplc="E2FA4D10" w:tentative="1">
      <w:start w:val="1"/>
      <w:numFmt w:val="lowerRoman"/>
      <w:lvlText w:val="%3."/>
      <w:lvlJc w:val="right"/>
      <w:pPr>
        <w:ind w:left="1800" w:hanging="180"/>
      </w:pPr>
    </w:lvl>
    <w:lvl w:ilvl="3" w:tplc="CF324DD8" w:tentative="1">
      <w:start w:val="1"/>
      <w:numFmt w:val="decimal"/>
      <w:lvlText w:val="%4."/>
      <w:lvlJc w:val="left"/>
      <w:pPr>
        <w:ind w:left="2520" w:hanging="360"/>
      </w:pPr>
    </w:lvl>
    <w:lvl w:ilvl="4" w:tplc="D11800E4" w:tentative="1">
      <w:start w:val="1"/>
      <w:numFmt w:val="lowerLetter"/>
      <w:lvlText w:val="%5."/>
      <w:lvlJc w:val="left"/>
      <w:pPr>
        <w:ind w:left="3240" w:hanging="360"/>
      </w:pPr>
    </w:lvl>
    <w:lvl w:ilvl="5" w:tplc="89B444BC" w:tentative="1">
      <w:start w:val="1"/>
      <w:numFmt w:val="lowerRoman"/>
      <w:lvlText w:val="%6."/>
      <w:lvlJc w:val="right"/>
      <w:pPr>
        <w:ind w:left="3960" w:hanging="180"/>
      </w:pPr>
    </w:lvl>
    <w:lvl w:ilvl="6" w:tplc="56B27816" w:tentative="1">
      <w:start w:val="1"/>
      <w:numFmt w:val="decimal"/>
      <w:lvlText w:val="%7."/>
      <w:lvlJc w:val="left"/>
      <w:pPr>
        <w:ind w:left="4680" w:hanging="360"/>
      </w:pPr>
    </w:lvl>
    <w:lvl w:ilvl="7" w:tplc="8048AF64" w:tentative="1">
      <w:start w:val="1"/>
      <w:numFmt w:val="lowerLetter"/>
      <w:lvlText w:val="%8."/>
      <w:lvlJc w:val="left"/>
      <w:pPr>
        <w:ind w:left="5400" w:hanging="360"/>
      </w:pPr>
    </w:lvl>
    <w:lvl w:ilvl="8" w:tplc="0B2616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6E3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C4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C5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C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E6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E8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AE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E5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34593"/>
    <w:multiLevelType w:val="hybridMultilevel"/>
    <w:tmpl w:val="511ABD20"/>
    <w:lvl w:ilvl="0" w:tplc="1038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272AA" w:tentative="1">
      <w:start w:val="1"/>
      <w:numFmt w:val="lowerLetter"/>
      <w:lvlText w:val="%2."/>
      <w:lvlJc w:val="left"/>
      <w:pPr>
        <w:ind w:left="1440" w:hanging="360"/>
      </w:pPr>
    </w:lvl>
    <w:lvl w:ilvl="2" w:tplc="4300E566" w:tentative="1">
      <w:start w:val="1"/>
      <w:numFmt w:val="lowerRoman"/>
      <w:lvlText w:val="%3."/>
      <w:lvlJc w:val="right"/>
      <w:pPr>
        <w:ind w:left="2160" w:hanging="180"/>
      </w:pPr>
    </w:lvl>
    <w:lvl w:ilvl="3" w:tplc="092AD2BE" w:tentative="1">
      <w:start w:val="1"/>
      <w:numFmt w:val="decimal"/>
      <w:lvlText w:val="%4."/>
      <w:lvlJc w:val="left"/>
      <w:pPr>
        <w:ind w:left="2880" w:hanging="360"/>
      </w:pPr>
    </w:lvl>
    <w:lvl w:ilvl="4" w:tplc="67F22B62" w:tentative="1">
      <w:start w:val="1"/>
      <w:numFmt w:val="lowerLetter"/>
      <w:lvlText w:val="%5."/>
      <w:lvlJc w:val="left"/>
      <w:pPr>
        <w:ind w:left="3600" w:hanging="360"/>
      </w:pPr>
    </w:lvl>
    <w:lvl w:ilvl="5" w:tplc="CA9C58B2" w:tentative="1">
      <w:start w:val="1"/>
      <w:numFmt w:val="lowerRoman"/>
      <w:lvlText w:val="%6."/>
      <w:lvlJc w:val="right"/>
      <w:pPr>
        <w:ind w:left="4320" w:hanging="180"/>
      </w:pPr>
    </w:lvl>
    <w:lvl w:ilvl="6" w:tplc="30FCAEE6" w:tentative="1">
      <w:start w:val="1"/>
      <w:numFmt w:val="decimal"/>
      <w:lvlText w:val="%7."/>
      <w:lvlJc w:val="left"/>
      <w:pPr>
        <w:ind w:left="5040" w:hanging="360"/>
      </w:pPr>
    </w:lvl>
    <w:lvl w:ilvl="7" w:tplc="5E122C4C" w:tentative="1">
      <w:start w:val="1"/>
      <w:numFmt w:val="lowerLetter"/>
      <w:lvlText w:val="%8."/>
      <w:lvlJc w:val="left"/>
      <w:pPr>
        <w:ind w:left="5760" w:hanging="360"/>
      </w:pPr>
    </w:lvl>
    <w:lvl w:ilvl="8" w:tplc="CB6A2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27F6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A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6F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29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62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DC3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C5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6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2C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C336A"/>
    <w:rsid w:val="000C46A1"/>
    <w:rsid w:val="000D08A9"/>
    <w:rsid w:val="000E4C1D"/>
    <w:rsid w:val="000F3D38"/>
    <w:rsid w:val="00110CBD"/>
    <w:rsid w:val="001357B2"/>
    <w:rsid w:val="00151388"/>
    <w:rsid w:val="00151872"/>
    <w:rsid w:val="00160E5F"/>
    <w:rsid w:val="00162AF1"/>
    <w:rsid w:val="00186E73"/>
    <w:rsid w:val="001A3BA5"/>
    <w:rsid w:val="001B446B"/>
    <w:rsid w:val="001D5534"/>
    <w:rsid w:val="001F3B21"/>
    <w:rsid w:val="001F7BC0"/>
    <w:rsid w:val="0020115D"/>
    <w:rsid w:val="00202A7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5E2F"/>
    <w:rsid w:val="00377950"/>
    <w:rsid w:val="003828AD"/>
    <w:rsid w:val="003845B4"/>
    <w:rsid w:val="00386774"/>
    <w:rsid w:val="00387B1A"/>
    <w:rsid w:val="003B5CF4"/>
    <w:rsid w:val="003C3B1D"/>
    <w:rsid w:val="003D0306"/>
    <w:rsid w:val="003E1C74"/>
    <w:rsid w:val="003E7E9E"/>
    <w:rsid w:val="003F4966"/>
    <w:rsid w:val="00406A98"/>
    <w:rsid w:val="00427F37"/>
    <w:rsid w:val="00481162"/>
    <w:rsid w:val="00484A06"/>
    <w:rsid w:val="004A2490"/>
    <w:rsid w:val="004A4233"/>
    <w:rsid w:val="004A6A59"/>
    <w:rsid w:val="004B160E"/>
    <w:rsid w:val="004B7DB1"/>
    <w:rsid w:val="004C3966"/>
    <w:rsid w:val="004D05DF"/>
    <w:rsid w:val="004D6BEE"/>
    <w:rsid w:val="00504B2D"/>
    <w:rsid w:val="005149DF"/>
    <w:rsid w:val="005254D1"/>
    <w:rsid w:val="00525C18"/>
    <w:rsid w:val="00526246"/>
    <w:rsid w:val="0055206D"/>
    <w:rsid w:val="00566729"/>
    <w:rsid w:val="00567106"/>
    <w:rsid w:val="005709F2"/>
    <w:rsid w:val="005916E5"/>
    <w:rsid w:val="005A6D07"/>
    <w:rsid w:val="005B0438"/>
    <w:rsid w:val="005C29D4"/>
    <w:rsid w:val="005E1D3C"/>
    <w:rsid w:val="005F16E0"/>
    <w:rsid w:val="00624A49"/>
    <w:rsid w:val="006268BE"/>
    <w:rsid w:val="00632253"/>
    <w:rsid w:val="00633FFE"/>
    <w:rsid w:val="00642714"/>
    <w:rsid w:val="00643C4E"/>
    <w:rsid w:val="006455CE"/>
    <w:rsid w:val="00672708"/>
    <w:rsid w:val="006D42D9"/>
    <w:rsid w:val="006F142E"/>
    <w:rsid w:val="00726463"/>
    <w:rsid w:val="00733017"/>
    <w:rsid w:val="00751D38"/>
    <w:rsid w:val="00766869"/>
    <w:rsid w:val="00775FED"/>
    <w:rsid w:val="00783310"/>
    <w:rsid w:val="00787143"/>
    <w:rsid w:val="00787D4D"/>
    <w:rsid w:val="00794B95"/>
    <w:rsid w:val="00794E63"/>
    <w:rsid w:val="007A1152"/>
    <w:rsid w:val="007A4A6D"/>
    <w:rsid w:val="007D1BCF"/>
    <w:rsid w:val="007D75CF"/>
    <w:rsid w:val="007E6DC5"/>
    <w:rsid w:val="00815E12"/>
    <w:rsid w:val="00822186"/>
    <w:rsid w:val="008739ED"/>
    <w:rsid w:val="0088043C"/>
    <w:rsid w:val="008906C9"/>
    <w:rsid w:val="008A5918"/>
    <w:rsid w:val="008B2E72"/>
    <w:rsid w:val="008C00F2"/>
    <w:rsid w:val="008C5738"/>
    <w:rsid w:val="008C7088"/>
    <w:rsid w:val="008D04F0"/>
    <w:rsid w:val="008E2D84"/>
    <w:rsid w:val="008F3500"/>
    <w:rsid w:val="009022B3"/>
    <w:rsid w:val="00924E3C"/>
    <w:rsid w:val="00925A8B"/>
    <w:rsid w:val="009441E7"/>
    <w:rsid w:val="009612BB"/>
    <w:rsid w:val="00990B38"/>
    <w:rsid w:val="009B0295"/>
    <w:rsid w:val="009B202C"/>
    <w:rsid w:val="009C5340"/>
    <w:rsid w:val="009D51D1"/>
    <w:rsid w:val="009E42F2"/>
    <w:rsid w:val="009F04B9"/>
    <w:rsid w:val="00A05DC7"/>
    <w:rsid w:val="00A125C5"/>
    <w:rsid w:val="00A12D5C"/>
    <w:rsid w:val="00A216AF"/>
    <w:rsid w:val="00A3267F"/>
    <w:rsid w:val="00A36906"/>
    <w:rsid w:val="00A41335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D69E0"/>
    <w:rsid w:val="00AE1792"/>
    <w:rsid w:val="00B011EA"/>
    <w:rsid w:val="00B17141"/>
    <w:rsid w:val="00B224B7"/>
    <w:rsid w:val="00B31575"/>
    <w:rsid w:val="00B63BD4"/>
    <w:rsid w:val="00B653A6"/>
    <w:rsid w:val="00B677B6"/>
    <w:rsid w:val="00B713EC"/>
    <w:rsid w:val="00B8547D"/>
    <w:rsid w:val="00BC2517"/>
    <w:rsid w:val="00BC61EF"/>
    <w:rsid w:val="00BE423F"/>
    <w:rsid w:val="00BE6286"/>
    <w:rsid w:val="00C250D5"/>
    <w:rsid w:val="00C42E77"/>
    <w:rsid w:val="00C47F8D"/>
    <w:rsid w:val="00C52DAE"/>
    <w:rsid w:val="00C57EED"/>
    <w:rsid w:val="00C81391"/>
    <w:rsid w:val="00C8347A"/>
    <w:rsid w:val="00C87E54"/>
    <w:rsid w:val="00C92898"/>
    <w:rsid w:val="00C97222"/>
    <w:rsid w:val="00CA28CB"/>
    <w:rsid w:val="00CE26AA"/>
    <w:rsid w:val="00CE7514"/>
    <w:rsid w:val="00D248DE"/>
    <w:rsid w:val="00D25427"/>
    <w:rsid w:val="00D31B74"/>
    <w:rsid w:val="00D3564D"/>
    <w:rsid w:val="00D8542D"/>
    <w:rsid w:val="00DB11E1"/>
    <w:rsid w:val="00DB4E6F"/>
    <w:rsid w:val="00DC62F6"/>
    <w:rsid w:val="00DC6A71"/>
    <w:rsid w:val="00DD6CC3"/>
    <w:rsid w:val="00DE28F3"/>
    <w:rsid w:val="00DE5B46"/>
    <w:rsid w:val="00E0357D"/>
    <w:rsid w:val="00E22247"/>
    <w:rsid w:val="00E24EC2"/>
    <w:rsid w:val="00E42FD5"/>
    <w:rsid w:val="00E51C0F"/>
    <w:rsid w:val="00E8201C"/>
    <w:rsid w:val="00E94ECF"/>
    <w:rsid w:val="00E976BC"/>
    <w:rsid w:val="00EA4738"/>
    <w:rsid w:val="00EC02F8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90452"/>
    <w:rsid w:val="00FD746A"/>
    <w:rsid w:val="00FE6E11"/>
    <w:rsid w:val="00FF563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E9223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2224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C396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8C708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C7088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8C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1-3354?sop=2021-01-33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468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F76C-FF4C-4F80-88D0-CC0A765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5</cp:revision>
  <cp:lastPrinted>2023-01-17T09:01:00Z</cp:lastPrinted>
  <dcterms:created xsi:type="dcterms:W3CDTF">2023-01-17T09:03:00Z</dcterms:created>
  <dcterms:modified xsi:type="dcterms:W3CDTF">2023-01-25T09:19:00Z</dcterms:modified>
</cp:coreProperties>
</file>