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2EB2" w14:textId="77777777" w:rsidR="0096689D" w:rsidRDefault="0096689D" w:rsidP="00DC6A71">
      <w:pPr>
        <w:pStyle w:val="datumtevilka"/>
        <w:rPr>
          <w:b/>
        </w:rPr>
      </w:pPr>
    </w:p>
    <w:p w14:paraId="65C25813" w14:textId="77777777" w:rsidR="0096689D" w:rsidRDefault="0096689D" w:rsidP="00DC6A71">
      <w:pPr>
        <w:pStyle w:val="datumtevilka"/>
        <w:rPr>
          <w:b/>
        </w:rPr>
      </w:pPr>
    </w:p>
    <w:p w14:paraId="4D6742C0" w14:textId="38CDDCE4" w:rsidR="008851B3" w:rsidRPr="00BC2517" w:rsidRDefault="004C033B" w:rsidP="00DC6A71">
      <w:pPr>
        <w:pStyle w:val="datumtevilka"/>
        <w:rPr>
          <w:b/>
        </w:rPr>
      </w:pPr>
      <w:r>
        <w:rPr>
          <w:b/>
        </w:rPr>
        <w:t>Naslovnik</w:t>
      </w:r>
    </w:p>
    <w:p w14:paraId="0D788D28" w14:textId="77777777" w:rsidR="006268BE" w:rsidRPr="00BC2517" w:rsidRDefault="006268BE" w:rsidP="00DC6A71">
      <w:pPr>
        <w:pStyle w:val="datumtevilka"/>
        <w:rPr>
          <w:b/>
        </w:rPr>
      </w:pPr>
    </w:p>
    <w:p w14:paraId="64CBDCFE" w14:textId="77777777" w:rsidR="0096689D" w:rsidRDefault="0096689D" w:rsidP="00DC6A71">
      <w:pPr>
        <w:pStyle w:val="datumtevilka"/>
      </w:pPr>
    </w:p>
    <w:p w14:paraId="597F31E4" w14:textId="6C46A1FE" w:rsidR="007D75CF" w:rsidRPr="00BC2517" w:rsidRDefault="00AF3D7A" w:rsidP="00DC6A71">
      <w:pPr>
        <w:pStyle w:val="datumtevilka"/>
      </w:pPr>
      <w:r w:rsidRPr="00BC2517">
        <w:t xml:space="preserve">Številka: </w:t>
      </w:r>
      <w:r w:rsidRPr="00BC2517">
        <w:tab/>
      </w:r>
      <w:r w:rsidR="009B18F4">
        <w:rPr>
          <w:rFonts w:cs="Arial"/>
          <w:shd w:val="clear" w:color="auto" w:fill="FFFFFF"/>
        </w:rPr>
        <w:t>0920-12541/2023-2</w:t>
      </w:r>
    </w:p>
    <w:p w14:paraId="7FA9CCDE" w14:textId="32AC1C4D" w:rsidR="007D75CF" w:rsidRPr="00BC2517" w:rsidRDefault="00AF3D7A" w:rsidP="00DC6A71">
      <w:pPr>
        <w:pStyle w:val="datumtevilka"/>
      </w:pPr>
      <w:r w:rsidRPr="00BC2517">
        <w:t xml:space="preserve">Datum: </w:t>
      </w:r>
      <w:r w:rsidRPr="00BC2517">
        <w:tab/>
      </w:r>
      <w:r w:rsidR="009B18F4">
        <w:rPr>
          <w:rFonts w:cs="Arial"/>
          <w:shd w:val="clear" w:color="auto" w:fill="FFFFFF"/>
        </w:rPr>
        <w:t>17. 08. 2023</w:t>
      </w:r>
      <w:r w:rsidRPr="00BC2517">
        <w:t xml:space="preserve"> </w:t>
      </w:r>
    </w:p>
    <w:p w14:paraId="30256712" w14:textId="77777777" w:rsidR="007D75CF" w:rsidRPr="00BC2517" w:rsidRDefault="007D75CF" w:rsidP="007D75CF">
      <w:pPr>
        <w:rPr>
          <w:lang w:val="sl-SI"/>
        </w:rPr>
      </w:pPr>
    </w:p>
    <w:p w14:paraId="25EFF249" w14:textId="729E9914" w:rsidR="007D75CF" w:rsidRPr="00BC2517" w:rsidRDefault="00AF3D7A" w:rsidP="00DC6A71">
      <w:pPr>
        <w:pStyle w:val="ZADEVA"/>
        <w:rPr>
          <w:lang w:val="sl-SI"/>
        </w:rPr>
      </w:pPr>
      <w:r w:rsidRPr="00BC2517">
        <w:rPr>
          <w:lang w:val="sl-SI"/>
        </w:rPr>
        <w:t xml:space="preserve">Zadeva: </w:t>
      </w:r>
      <w:r w:rsidRPr="00BC2517">
        <w:rPr>
          <w:lang w:val="sl-SI"/>
        </w:rPr>
        <w:tab/>
      </w:r>
      <w:bookmarkStart w:id="0" w:name="NaslovZadeve"/>
      <w:r w:rsidRPr="008851B3">
        <w:rPr>
          <w:lang w:val="sl-SI"/>
        </w:rPr>
        <w:t xml:space="preserve">Odgovor na vaše vprašanje - davčna </w:t>
      </w:r>
      <w:r w:rsidR="004C033B">
        <w:rPr>
          <w:lang w:val="sl-SI"/>
        </w:rPr>
        <w:t>olajšava za nakup</w:t>
      </w:r>
      <w:r w:rsidRPr="008851B3">
        <w:rPr>
          <w:lang w:val="sl-SI"/>
        </w:rPr>
        <w:t xml:space="preserve"> </w:t>
      </w:r>
      <w:r w:rsidR="00800E6C">
        <w:rPr>
          <w:lang w:val="sl-SI"/>
        </w:rPr>
        <w:t xml:space="preserve">Hiab </w:t>
      </w:r>
      <w:r w:rsidRPr="008851B3">
        <w:rPr>
          <w:lang w:val="sl-SI"/>
        </w:rPr>
        <w:t>dvigala</w:t>
      </w:r>
      <w:bookmarkEnd w:id="0"/>
    </w:p>
    <w:p w14:paraId="012E9EB5" w14:textId="77777777" w:rsidR="007D75CF" w:rsidRPr="00BC2517" w:rsidRDefault="007D75CF" w:rsidP="007D75CF">
      <w:pPr>
        <w:rPr>
          <w:lang w:val="sl-SI"/>
        </w:rPr>
      </w:pPr>
    </w:p>
    <w:p w14:paraId="748B4477" w14:textId="2D19FB97" w:rsidR="008851B3" w:rsidRDefault="00AF3D7A" w:rsidP="008851B3">
      <w:pPr>
        <w:jc w:val="both"/>
        <w:rPr>
          <w:lang w:val="sl-SI"/>
        </w:rPr>
      </w:pPr>
      <w:r>
        <w:rPr>
          <w:lang w:val="sl-SI"/>
        </w:rPr>
        <w:t xml:space="preserve">Prejeli smo vaš dopis, </w:t>
      </w:r>
      <w:r w:rsidR="004C033B">
        <w:rPr>
          <w:lang w:val="sl-SI"/>
        </w:rPr>
        <w:t>iz katerega izhaja, da je</w:t>
      </w:r>
      <w:r>
        <w:rPr>
          <w:lang w:val="sl-SI"/>
        </w:rPr>
        <w:t xml:space="preserve"> vaša stranka </w:t>
      </w:r>
      <w:r w:rsidR="004C033B">
        <w:rPr>
          <w:lang w:val="sl-SI"/>
        </w:rPr>
        <w:t>kupila Hiab dvigalo</w:t>
      </w:r>
      <w:r w:rsidRPr="008851B3">
        <w:rPr>
          <w:lang w:val="sl-SI"/>
        </w:rPr>
        <w:t xml:space="preserve"> </w:t>
      </w:r>
      <w:r w:rsidR="004C033B">
        <w:rPr>
          <w:lang w:val="sl-SI"/>
        </w:rPr>
        <w:t xml:space="preserve">v znesku 97.500,00 EUR. </w:t>
      </w:r>
      <w:r w:rsidRPr="008851B3">
        <w:rPr>
          <w:lang w:val="sl-SI"/>
        </w:rPr>
        <w:t>Pri uveljavljanju davčne</w:t>
      </w:r>
      <w:r w:rsidR="004C033B">
        <w:rPr>
          <w:lang w:val="sl-SI"/>
        </w:rPr>
        <w:t xml:space="preserve"> olajšave za nakup </w:t>
      </w:r>
      <w:r>
        <w:rPr>
          <w:lang w:val="sl-SI"/>
        </w:rPr>
        <w:t>dvigala</w:t>
      </w:r>
      <w:r w:rsidRPr="008851B3">
        <w:rPr>
          <w:lang w:val="sl-SI"/>
        </w:rPr>
        <w:t xml:space="preserve"> stranka</w:t>
      </w:r>
      <w:r w:rsidR="004C033B">
        <w:rPr>
          <w:lang w:val="sl-SI"/>
        </w:rPr>
        <w:t xml:space="preserve"> želi slediti določbi 55.a člena ZDDDPO-2, v skladu s katero </w:t>
      </w:r>
      <w:r w:rsidRPr="008851B3">
        <w:rPr>
          <w:lang w:val="sl-SI"/>
        </w:rPr>
        <w:t>je predmet davčne olajšave lahko le oprema (razen opreme, ki je izrecno izvzeta iz olajšave), ki z namenom služi funkcionalni rabi oz. se uporablja pri opravljanju dejavnosti. V homologaciji je sic</w:t>
      </w:r>
      <w:r>
        <w:rPr>
          <w:lang w:val="sl-SI"/>
        </w:rPr>
        <w:t xml:space="preserve">er navedeno, da je avtodvigalo </w:t>
      </w:r>
      <w:r w:rsidRPr="008851B3">
        <w:rPr>
          <w:lang w:val="sl-SI"/>
        </w:rPr>
        <w:t>nameščen</w:t>
      </w:r>
      <w:r w:rsidR="004C033B">
        <w:rPr>
          <w:lang w:val="sl-SI"/>
        </w:rPr>
        <w:t>o na šasiji tovornjaka</w:t>
      </w:r>
      <w:r>
        <w:rPr>
          <w:lang w:val="sl-SI"/>
        </w:rPr>
        <w:t xml:space="preserve">. </w:t>
      </w:r>
      <w:r w:rsidRPr="008851B3">
        <w:rPr>
          <w:lang w:val="sl-SI"/>
        </w:rPr>
        <w:t>Glede na dejstvo, da oprema kot je Hiab dvigalo ni taksativno našteta med opremo, ki bi bila izvzeta iz olajšav in ob dodatnem dejstvu, da družba potrebuje takšn</w:t>
      </w:r>
      <w:r w:rsidR="00D62128">
        <w:rPr>
          <w:lang w:val="sl-SI"/>
        </w:rPr>
        <w:t>o opremo za svojo dejavnost pri</w:t>
      </w:r>
      <w:r w:rsidRPr="008851B3">
        <w:rPr>
          <w:lang w:val="sl-SI"/>
        </w:rPr>
        <w:t xml:space="preserve"> nameščanje drogo</w:t>
      </w:r>
      <w:r>
        <w:rPr>
          <w:lang w:val="sl-SI"/>
        </w:rPr>
        <w:t>v na težko dostopnih pobočjih (</w:t>
      </w:r>
      <w:r w:rsidRPr="008851B3">
        <w:rPr>
          <w:lang w:val="sl-SI"/>
        </w:rPr>
        <w:t xml:space="preserve">zelo strma in nevarna pobočja) na območju Elektra Maribor, </w:t>
      </w:r>
      <w:r w:rsidR="004C033B">
        <w:rPr>
          <w:lang w:val="sl-SI"/>
        </w:rPr>
        <w:t>menite</w:t>
      </w:r>
      <w:r w:rsidRPr="008851B3">
        <w:rPr>
          <w:lang w:val="sl-SI"/>
        </w:rPr>
        <w:t xml:space="preserve">, da so upravičeni do davčne olajšave. </w:t>
      </w:r>
      <w:r>
        <w:rPr>
          <w:lang w:val="sl-SI"/>
        </w:rPr>
        <w:t>Tovornjak je bil</w:t>
      </w:r>
      <w:r w:rsidRPr="008851B3">
        <w:rPr>
          <w:lang w:val="sl-SI"/>
        </w:rPr>
        <w:t xml:space="preserve"> dejansko kupljen posebej, </w:t>
      </w:r>
      <w:r w:rsidR="00D62128">
        <w:rPr>
          <w:lang w:val="sl-SI"/>
        </w:rPr>
        <w:t>zanj</w:t>
      </w:r>
      <w:r w:rsidRPr="008851B3">
        <w:rPr>
          <w:lang w:val="sl-SI"/>
        </w:rPr>
        <w:t xml:space="preserve"> je bil izdan popolnoma samostojen račun, nato pa se je nanj le namestilo dvigalo za potrebe dviga bremen, kar je tudi predmet davčne olajšave.</w:t>
      </w:r>
      <w:r>
        <w:rPr>
          <w:lang w:val="sl-SI"/>
        </w:rPr>
        <w:t xml:space="preserve"> </w:t>
      </w:r>
    </w:p>
    <w:p w14:paraId="1DCE8AB6" w14:textId="77777777" w:rsidR="008851B3" w:rsidRDefault="008851B3" w:rsidP="008851B3">
      <w:pPr>
        <w:jc w:val="both"/>
        <w:rPr>
          <w:lang w:val="sl-SI"/>
        </w:rPr>
      </w:pPr>
    </w:p>
    <w:p w14:paraId="17AC2257" w14:textId="77777777" w:rsidR="008851B3" w:rsidRDefault="00AF3D7A" w:rsidP="008851B3">
      <w:pPr>
        <w:jc w:val="both"/>
        <w:rPr>
          <w:lang w:val="sl-SI"/>
        </w:rPr>
      </w:pPr>
      <w:r>
        <w:rPr>
          <w:lang w:val="sl-SI"/>
        </w:rPr>
        <w:t>V nadaljevanju vam posredujemo odgovor.</w:t>
      </w:r>
    </w:p>
    <w:p w14:paraId="41AE1C40" w14:textId="77777777" w:rsidR="00661881" w:rsidRDefault="00661881" w:rsidP="008851B3">
      <w:pPr>
        <w:jc w:val="both"/>
        <w:rPr>
          <w:lang w:val="sl-SI"/>
        </w:rPr>
      </w:pPr>
    </w:p>
    <w:p w14:paraId="4F7EA960" w14:textId="77777777" w:rsidR="0096689D" w:rsidRDefault="00AF3D7A" w:rsidP="0096689D">
      <w:pPr>
        <w:jc w:val="both"/>
        <w:rPr>
          <w:lang w:val="sl-SI"/>
        </w:rPr>
      </w:pPr>
      <w:r w:rsidRPr="00661881">
        <w:rPr>
          <w:lang w:val="sl-SI"/>
        </w:rPr>
        <w:t xml:space="preserve">V skladu z 2. točko drugega odstavka 55.a člena </w:t>
      </w:r>
      <w:hyperlink r:id="rId8" w:history="1">
        <w:r w:rsidRPr="00661881">
          <w:rPr>
            <w:rStyle w:val="Hiperpovezava"/>
            <w:lang w:val="sl-SI"/>
          </w:rPr>
          <w:t>Zakona o davku od dohodkov pravnih oseb ZDDPO-2</w:t>
        </w:r>
      </w:hyperlink>
      <w:r w:rsidRPr="00661881">
        <w:rPr>
          <w:lang w:val="sl-SI"/>
        </w:rPr>
        <w:t xml:space="preserve"> so iz opreme, za katero se lahko uveljavlja olajšava za investiranje, izvzeta motorna vozila, razen osebnih avtomobilov na hibridni in električni pogon, avtobusov na hibridni in električni pogon ali z motorjem, ki ustreza najmanj emisijskim zahtevam EURO VI, in tovornih vozil z motorjem, ki ustreza najmanj emisijskim zahtevam EURO VI.</w:t>
      </w:r>
    </w:p>
    <w:p w14:paraId="4934B7D1" w14:textId="77777777" w:rsidR="0096689D" w:rsidRDefault="0096689D" w:rsidP="0096689D">
      <w:pPr>
        <w:jc w:val="both"/>
        <w:rPr>
          <w:lang w:val="sl-SI"/>
        </w:rPr>
      </w:pPr>
    </w:p>
    <w:p w14:paraId="067CB501" w14:textId="0D4A6F2D" w:rsidR="0096689D" w:rsidRDefault="00AF3D7A" w:rsidP="0096689D">
      <w:pPr>
        <w:jc w:val="both"/>
        <w:rPr>
          <w:lang w:val="sl-SI"/>
        </w:rPr>
      </w:pPr>
      <w:r>
        <w:rPr>
          <w:lang w:val="sl-SI"/>
        </w:rPr>
        <w:t xml:space="preserve">Iz vašega dopisa izhaja, da je davčni zavezanec tovorno vozilo, ki ne ustreza navedenim emisijskim zahtevam, predelal z vgraditvijo avtodvigala, skladnost predelave pa je bila potrjena s strani pristojnih organov (homologacija) in ustrezno evidentirana v podatkih o tovornem vozilu. Glede na opravljeno homologacijo vozila razumemo, </w:t>
      </w:r>
      <w:r w:rsidR="00217DE8">
        <w:rPr>
          <w:lang w:val="sl-SI"/>
        </w:rPr>
        <w:t>da</w:t>
      </w:r>
      <w:r>
        <w:rPr>
          <w:lang w:val="sl-SI"/>
        </w:rPr>
        <w:t xml:space="preserve"> je</w:t>
      </w:r>
      <w:r w:rsidR="00217DE8">
        <w:rPr>
          <w:lang w:val="sl-SI"/>
        </w:rPr>
        <w:t xml:space="preserve"> vozilo</w:t>
      </w:r>
      <w:r>
        <w:rPr>
          <w:lang w:val="sl-SI"/>
        </w:rPr>
        <w:t xml:space="preserve"> kategorizirano </w:t>
      </w:r>
      <w:r w:rsidRPr="00A67C8D">
        <w:rPr>
          <w:lang w:val="sl-SI"/>
        </w:rPr>
        <w:t>kot tovor</w:t>
      </w:r>
      <w:r>
        <w:rPr>
          <w:lang w:val="sl-SI"/>
        </w:rPr>
        <w:t>no vozilo z dvigalom</w:t>
      </w:r>
      <w:r w:rsidRPr="00A67C8D">
        <w:rPr>
          <w:lang w:val="sl-SI"/>
        </w:rPr>
        <w:t>, zaradi česar se dvigalo šteje z</w:t>
      </w:r>
      <w:r w:rsidR="00217DE8">
        <w:rPr>
          <w:lang w:val="sl-SI"/>
        </w:rPr>
        <w:t>a sestavni del tovornega vozila.</w:t>
      </w:r>
    </w:p>
    <w:p w14:paraId="7938A64D" w14:textId="77777777" w:rsidR="0096689D" w:rsidRDefault="0096689D" w:rsidP="0096689D">
      <w:pPr>
        <w:jc w:val="both"/>
        <w:rPr>
          <w:lang w:val="sl-SI"/>
        </w:rPr>
      </w:pPr>
    </w:p>
    <w:p w14:paraId="0D50C7FE" w14:textId="77777777" w:rsidR="0096689D" w:rsidRPr="00A67C8D" w:rsidRDefault="00AF3D7A" w:rsidP="0096689D">
      <w:pPr>
        <w:jc w:val="both"/>
        <w:rPr>
          <w:lang w:val="sl-SI"/>
        </w:rPr>
      </w:pPr>
      <w:r>
        <w:rPr>
          <w:lang w:val="sl-SI"/>
        </w:rPr>
        <w:t xml:space="preserve">Iz navedenega izhaja, da gre za nadgradnjo tovornega vozila, ki ne izpolnjuje pogojev za uveljavljanja davčne olajšave v zvezi z emisijskimi zahtevami, kar pomeni, da olajšave ni mogoče uveljavljati. </w:t>
      </w:r>
      <w:r w:rsidRPr="00A67C8D">
        <w:rPr>
          <w:lang w:val="sl-SI"/>
        </w:rPr>
        <w:t xml:space="preserve">Med drugim je s tem zagotovljena enaka obravnava tovornih vozil s posebnimi oblikami nadgradenj, ne glede na to, ali imajo opremo vgrajeno že tovarniško ali naknadno. </w:t>
      </w:r>
    </w:p>
    <w:p w14:paraId="6F152407" w14:textId="77777777" w:rsidR="0096689D" w:rsidRDefault="0096689D" w:rsidP="0096689D">
      <w:pPr>
        <w:jc w:val="both"/>
        <w:rPr>
          <w:lang w:val="sl-SI"/>
        </w:rPr>
      </w:pPr>
    </w:p>
    <w:p w14:paraId="62E45399" w14:textId="5BDD6E52" w:rsidR="007E6DC5" w:rsidRPr="00BC2517" w:rsidRDefault="007E6DC5" w:rsidP="007D75CF">
      <w:pPr>
        <w:rPr>
          <w:lang w:val="sl-SI"/>
        </w:rPr>
      </w:pPr>
    </w:p>
    <w:p w14:paraId="6CB37A10" w14:textId="77777777" w:rsidR="00377950" w:rsidRPr="00BC2517" w:rsidRDefault="00377950" w:rsidP="007D75CF">
      <w:pPr>
        <w:rPr>
          <w:lang w:val="sl-SI"/>
        </w:rPr>
      </w:pPr>
    </w:p>
    <w:p w14:paraId="6B6FDC6D" w14:textId="77777777" w:rsidR="0096689D" w:rsidRPr="00BC2517" w:rsidRDefault="0096689D" w:rsidP="005149DF">
      <w:pPr>
        <w:pStyle w:val="podpisi"/>
        <w:tabs>
          <w:tab w:val="left" w:pos="709"/>
        </w:tabs>
        <w:rPr>
          <w:lang w:val="sl-SI"/>
        </w:rPr>
      </w:pPr>
    </w:p>
    <w:sectPr w:rsidR="0096689D" w:rsidRPr="00BC2517" w:rsidSect="00F00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22B7" w14:textId="77777777" w:rsidR="00D759F1" w:rsidRDefault="00D759F1">
      <w:pPr>
        <w:spacing w:line="240" w:lineRule="auto"/>
      </w:pPr>
      <w:r>
        <w:separator/>
      </w:r>
    </w:p>
  </w:endnote>
  <w:endnote w:type="continuationSeparator" w:id="0">
    <w:p w14:paraId="28BFCDD8" w14:textId="77777777" w:rsidR="00D759F1" w:rsidRDefault="00D75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5B15" w14:textId="77777777" w:rsidR="005254D1" w:rsidRDefault="005254D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3E7B" w14:textId="2946D547" w:rsidR="000B0B21" w:rsidRDefault="00AF3D7A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4C033B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4C033B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8BF5" w14:textId="2101F383" w:rsidR="000B0B21" w:rsidRDefault="00AF3D7A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800E6C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800E6C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D651" w14:textId="77777777" w:rsidR="00D759F1" w:rsidRDefault="00D759F1">
      <w:pPr>
        <w:spacing w:line="240" w:lineRule="auto"/>
      </w:pPr>
      <w:r>
        <w:separator/>
      </w:r>
    </w:p>
  </w:footnote>
  <w:footnote w:type="continuationSeparator" w:id="0">
    <w:p w14:paraId="0337B228" w14:textId="77777777" w:rsidR="00D759F1" w:rsidRDefault="00D759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D0F5" w14:textId="77777777" w:rsidR="005254D1" w:rsidRDefault="005254D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6BBB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24252" w14:paraId="2F6E9E22" w14:textId="77777777">
      <w:trPr>
        <w:cantSplit/>
        <w:trHeight w:hRule="exact" w:val="847"/>
      </w:trPr>
      <w:tc>
        <w:tcPr>
          <w:tcW w:w="567" w:type="dxa"/>
        </w:tcPr>
        <w:p w14:paraId="091BDB73" w14:textId="77777777" w:rsidR="000B0B21" w:rsidRDefault="00AF3D7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0CBE875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5A25A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162B7A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2D6368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F4B5469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7F232D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195FF48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26F536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E0A0D6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8737F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79D850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66C650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76BBF7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9C10F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44A9E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E37D838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1B54443" w14:textId="77777777" w:rsidR="000B0B21" w:rsidRPr="008F3500" w:rsidRDefault="00AF3D7A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AAA529D" wp14:editId="03303C30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position:absolute;v-text-anchor:top;z-index:-251658240" from="-34pt,283.5pt" to="-14.15pt,283.5pt" o:allowincell="f" fillcolor="this" stroked="t" strokecolor="#428299" strokeweight="0.5pt">
              <v:stroke joinstyle="round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620883DF" w14:textId="77777777" w:rsidR="000B0B21" w:rsidRPr="00FD746A" w:rsidRDefault="00AF3D7A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D746A">
      <w:rPr>
        <w:rFonts w:ascii="Republika" w:hAnsi="Republika"/>
        <w:b/>
        <w:caps/>
        <w:lang w:val="sl-SI"/>
      </w:rPr>
      <w:t>Ministrstvo za finance</w:t>
    </w:r>
  </w:p>
  <w:p w14:paraId="7BB7F16D" w14:textId="77777777" w:rsidR="00ED7E82" w:rsidRDefault="00AF3D7A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14:paraId="5AB5E69F" w14:textId="77777777" w:rsidR="005254D1" w:rsidRPr="00A12D5C" w:rsidRDefault="00AF3D7A" w:rsidP="005254D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14:paraId="0F5D3DB4" w14:textId="77777777" w:rsidR="005254D1" w:rsidRPr="008F3500" w:rsidRDefault="00AF3D7A" w:rsidP="005254D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0714D100" w14:textId="77777777" w:rsidR="005254D1" w:rsidRPr="008F3500" w:rsidRDefault="00AF3D7A" w:rsidP="005254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44A29FBA" w14:textId="77777777" w:rsidR="005254D1" w:rsidRPr="008F3500" w:rsidRDefault="00AF3D7A" w:rsidP="005254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2DD67B49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5DE825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3648CE" w:tentative="1">
      <w:start w:val="1"/>
      <w:numFmt w:val="lowerLetter"/>
      <w:lvlText w:val="%2."/>
      <w:lvlJc w:val="left"/>
      <w:pPr>
        <w:ind w:left="1800" w:hanging="360"/>
      </w:pPr>
    </w:lvl>
    <w:lvl w:ilvl="2" w:tplc="60AAC4AC" w:tentative="1">
      <w:start w:val="1"/>
      <w:numFmt w:val="lowerRoman"/>
      <w:lvlText w:val="%3."/>
      <w:lvlJc w:val="right"/>
      <w:pPr>
        <w:ind w:left="2520" w:hanging="180"/>
      </w:pPr>
    </w:lvl>
    <w:lvl w:ilvl="3" w:tplc="A94438B8" w:tentative="1">
      <w:start w:val="1"/>
      <w:numFmt w:val="decimal"/>
      <w:lvlText w:val="%4."/>
      <w:lvlJc w:val="left"/>
      <w:pPr>
        <w:ind w:left="3240" w:hanging="360"/>
      </w:pPr>
    </w:lvl>
    <w:lvl w:ilvl="4" w:tplc="4E10180E" w:tentative="1">
      <w:start w:val="1"/>
      <w:numFmt w:val="lowerLetter"/>
      <w:lvlText w:val="%5."/>
      <w:lvlJc w:val="left"/>
      <w:pPr>
        <w:ind w:left="3960" w:hanging="360"/>
      </w:pPr>
    </w:lvl>
    <w:lvl w:ilvl="5" w:tplc="4140A3B2" w:tentative="1">
      <w:start w:val="1"/>
      <w:numFmt w:val="lowerRoman"/>
      <w:lvlText w:val="%6."/>
      <w:lvlJc w:val="right"/>
      <w:pPr>
        <w:ind w:left="4680" w:hanging="180"/>
      </w:pPr>
    </w:lvl>
    <w:lvl w:ilvl="6" w:tplc="6E321646" w:tentative="1">
      <w:start w:val="1"/>
      <w:numFmt w:val="decimal"/>
      <w:lvlText w:val="%7."/>
      <w:lvlJc w:val="left"/>
      <w:pPr>
        <w:ind w:left="5400" w:hanging="360"/>
      </w:pPr>
    </w:lvl>
    <w:lvl w:ilvl="7" w:tplc="D61A3224" w:tentative="1">
      <w:start w:val="1"/>
      <w:numFmt w:val="lowerLetter"/>
      <w:lvlText w:val="%8."/>
      <w:lvlJc w:val="left"/>
      <w:pPr>
        <w:ind w:left="6120" w:hanging="360"/>
      </w:pPr>
    </w:lvl>
    <w:lvl w:ilvl="8" w:tplc="1A64EA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7C1C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7C93EC" w:tentative="1">
      <w:start w:val="1"/>
      <w:numFmt w:val="lowerLetter"/>
      <w:lvlText w:val="%2."/>
      <w:lvlJc w:val="left"/>
      <w:pPr>
        <w:ind w:left="1080" w:hanging="360"/>
      </w:pPr>
    </w:lvl>
    <w:lvl w:ilvl="2" w:tplc="6C3CB8EE" w:tentative="1">
      <w:start w:val="1"/>
      <w:numFmt w:val="lowerRoman"/>
      <w:lvlText w:val="%3."/>
      <w:lvlJc w:val="right"/>
      <w:pPr>
        <w:ind w:left="1800" w:hanging="180"/>
      </w:pPr>
    </w:lvl>
    <w:lvl w:ilvl="3" w:tplc="36FCADDE" w:tentative="1">
      <w:start w:val="1"/>
      <w:numFmt w:val="decimal"/>
      <w:lvlText w:val="%4."/>
      <w:lvlJc w:val="left"/>
      <w:pPr>
        <w:ind w:left="2520" w:hanging="360"/>
      </w:pPr>
    </w:lvl>
    <w:lvl w:ilvl="4" w:tplc="B7FE349C" w:tentative="1">
      <w:start w:val="1"/>
      <w:numFmt w:val="lowerLetter"/>
      <w:lvlText w:val="%5."/>
      <w:lvlJc w:val="left"/>
      <w:pPr>
        <w:ind w:left="3240" w:hanging="360"/>
      </w:pPr>
    </w:lvl>
    <w:lvl w:ilvl="5" w:tplc="B632430C" w:tentative="1">
      <w:start w:val="1"/>
      <w:numFmt w:val="lowerRoman"/>
      <w:lvlText w:val="%6."/>
      <w:lvlJc w:val="right"/>
      <w:pPr>
        <w:ind w:left="3960" w:hanging="180"/>
      </w:pPr>
    </w:lvl>
    <w:lvl w:ilvl="6" w:tplc="9EEAF686" w:tentative="1">
      <w:start w:val="1"/>
      <w:numFmt w:val="decimal"/>
      <w:lvlText w:val="%7."/>
      <w:lvlJc w:val="left"/>
      <w:pPr>
        <w:ind w:left="4680" w:hanging="360"/>
      </w:pPr>
    </w:lvl>
    <w:lvl w:ilvl="7" w:tplc="1158A300" w:tentative="1">
      <w:start w:val="1"/>
      <w:numFmt w:val="lowerLetter"/>
      <w:lvlText w:val="%8."/>
      <w:lvlJc w:val="left"/>
      <w:pPr>
        <w:ind w:left="5400" w:hanging="360"/>
      </w:pPr>
    </w:lvl>
    <w:lvl w:ilvl="8" w:tplc="A9349C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D66A3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DA4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E3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426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2C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BC00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06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E4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E20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3F1B0E"/>
    <w:multiLevelType w:val="hybridMultilevel"/>
    <w:tmpl w:val="16A6652A"/>
    <w:lvl w:ilvl="0" w:tplc="C7EC3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13E67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2CA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4C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E4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B09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6B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43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0A7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E4C61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880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500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44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00D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DA32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C4A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2B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A0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334046">
    <w:abstractNumId w:val="5"/>
  </w:num>
  <w:num w:numId="2" w16cid:durableId="897979206">
    <w:abstractNumId w:val="2"/>
  </w:num>
  <w:num w:numId="3" w16cid:durableId="510029426">
    <w:abstractNumId w:val="3"/>
  </w:num>
  <w:num w:numId="4" w16cid:durableId="1464040618">
    <w:abstractNumId w:val="0"/>
  </w:num>
  <w:num w:numId="5" w16cid:durableId="932904998">
    <w:abstractNumId w:val="1"/>
  </w:num>
  <w:num w:numId="6" w16cid:durableId="19903965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63FF"/>
    <w:rsid w:val="000206AE"/>
    <w:rsid w:val="00023A88"/>
    <w:rsid w:val="000636E1"/>
    <w:rsid w:val="0008352D"/>
    <w:rsid w:val="000A07CE"/>
    <w:rsid w:val="000A2C92"/>
    <w:rsid w:val="000A7238"/>
    <w:rsid w:val="000B0B21"/>
    <w:rsid w:val="000D08A9"/>
    <w:rsid w:val="000F3D38"/>
    <w:rsid w:val="00110CBD"/>
    <w:rsid w:val="00124252"/>
    <w:rsid w:val="001357B2"/>
    <w:rsid w:val="00151388"/>
    <w:rsid w:val="00151872"/>
    <w:rsid w:val="00160E5F"/>
    <w:rsid w:val="00185E97"/>
    <w:rsid w:val="001A3BA5"/>
    <w:rsid w:val="001F3B21"/>
    <w:rsid w:val="001F7BC0"/>
    <w:rsid w:val="00202A77"/>
    <w:rsid w:val="00217DE8"/>
    <w:rsid w:val="00232E47"/>
    <w:rsid w:val="002468A1"/>
    <w:rsid w:val="00261D99"/>
    <w:rsid w:val="00262960"/>
    <w:rsid w:val="00271CE5"/>
    <w:rsid w:val="00282020"/>
    <w:rsid w:val="00282A2F"/>
    <w:rsid w:val="00285890"/>
    <w:rsid w:val="002934F1"/>
    <w:rsid w:val="00296D93"/>
    <w:rsid w:val="00297F27"/>
    <w:rsid w:val="002A4B44"/>
    <w:rsid w:val="002C7EEB"/>
    <w:rsid w:val="00304726"/>
    <w:rsid w:val="00315D82"/>
    <w:rsid w:val="00352109"/>
    <w:rsid w:val="003636BF"/>
    <w:rsid w:val="00370AA7"/>
    <w:rsid w:val="00371034"/>
    <w:rsid w:val="0037479F"/>
    <w:rsid w:val="00377950"/>
    <w:rsid w:val="003828AD"/>
    <w:rsid w:val="003845B4"/>
    <w:rsid w:val="00387B1A"/>
    <w:rsid w:val="003B5CF4"/>
    <w:rsid w:val="003C3B1D"/>
    <w:rsid w:val="003D0306"/>
    <w:rsid w:val="003E1C74"/>
    <w:rsid w:val="003E7E9E"/>
    <w:rsid w:val="003F4966"/>
    <w:rsid w:val="00484A06"/>
    <w:rsid w:val="004A2490"/>
    <w:rsid w:val="004A4233"/>
    <w:rsid w:val="004A6A59"/>
    <w:rsid w:val="004B160E"/>
    <w:rsid w:val="004C033B"/>
    <w:rsid w:val="004C5886"/>
    <w:rsid w:val="005149DF"/>
    <w:rsid w:val="005254D1"/>
    <w:rsid w:val="00525C18"/>
    <w:rsid w:val="00526246"/>
    <w:rsid w:val="0055206D"/>
    <w:rsid w:val="00567106"/>
    <w:rsid w:val="005709F2"/>
    <w:rsid w:val="005916E5"/>
    <w:rsid w:val="005B0438"/>
    <w:rsid w:val="005E1D3C"/>
    <w:rsid w:val="005F7637"/>
    <w:rsid w:val="006268BE"/>
    <w:rsid w:val="00632253"/>
    <w:rsid w:val="00642714"/>
    <w:rsid w:val="00643C4E"/>
    <w:rsid w:val="006455CE"/>
    <w:rsid w:val="00661881"/>
    <w:rsid w:val="006679C9"/>
    <w:rsid w:val="00684A15"/>
    <w:rsid w:val="006D42D9"/>
    <w:rsid w:val="006F142E"/>
    <w:rsid w:val="00726463"/>
    <w:rsid w:val="00733017"/>
    <w:rsid w:val="00751D38"/>
    <w:rsid w:val="00775FED"/>
    <w:rsid w:val="00783310"/>
    <w:rsid w:val="00794B95"/>
    <w:rsid w:val="00794E63"/>
    <w:rsid w:val="007A4A6D"/>
    <w:rsid w:val="007D1BCF"/>
    <w:rsid w:val="007D75CF"/>
    <w:rsid w:val="007E6DC5"/>
    <w:rsid w:val="00800E6C"/>
    <w:rsid w:val="0088043C"/>
    <w:rsid w:val="008851B3"/>
    <w:rsid w:val="008906C9"/>
    <w:rsid w:val="008A5918"/>
    <w:rsid w:val="008B2E72"/>
    <w:rsid w:val="008C00F2"/>
    <w:rsid w:val="008C5738"/>
    <w:rsid w:val="008D04F0"/>
    <w:rsid w:val="008E2D84"/>
    <w:rsid w:val="008F3500"/>
    <w:rsid w:val="009022B3"/>
    <w:rsid w:val="00924E3C"/>
    <w:rsid w:val="00925A8B"/>
    <w:rsid w:val="009612BB"/>
    <w:rsid w:val="0096689D"/>
    <w:rsid w:val="009B0295"/>
    <w:rsid w:val="009B18F4"/>
    <w:rsid w:val="009C5340"/>
    <w:rsid w:val="009E42F2"/>
    <w:rsid w:val="00A05DC7"/>
    <w:rsid w:val="00A125C5"/>
    <w:rsid w:val="00A12D5C"/>
    <w:rsid w:val="00A216AF"/>
    <w:rsid w:val="00A3267F"/>
    <w:rsid w:val="00A36906"/>
    <w:rsid w:val="00A45EAF"/>
    <w:rsid w:val="00A5039D"/>
    <w:rsid w:val="00A57074"/>
    <w:rsid w:val="00A65EE7"/>
    <w:rsid w:val="00A67C8D"/>
    <w:rsid w:val="00A70133"/>
    <w:rsid w:val="00A72510"/>
    <w:rsid w:val="00AA47FE"/>
    <w:rsid w:val="00AC05DE"/>
    <w:rsid w:val="00AC5C16"/>
    <w:rsid w:val="00AD5A5B"/>
    <w:rsid w:val="00AE1792"/>
    <w:rsid w:val="00AF3D7A"/>
    <w:rsid w:val="00B011EA"/>
    <w:rsid w:val="00B17141"/>
    <w:rsid w:val="00B31575"/>
    <w:rsid w:val="00B63BD4"/>
    <w:rsid w:val="00B653A6"/>
    <w:rsid w:val="00B677B6"/>
    <w:rsid w:val="00B8547D"/>
    <w:rsid w:val="00BC2517"/>
    <w:rsid w:val="00BC61EF"/>
    <w:rsid w:val="00BE423F"/>
    <w:rsid w:val="00C250D5"/>
    <w:rsid w:val="00C47F8D"/>
    <w:rsid w:val="00C52DAE"/>
    <w:rsid w:val="00C57EED"/>
    <w:rsid w:val="00C81391"/>
    <w:rsid w:val="00C92898"/>
    <w:rsid w:val="00C97222"/>
    <w:rsid w:val="00CA28CB"/>
    <w:rsid w:val="00CC300C"/>
    <w:rsid w:val="00CE7514"/>
    <w:rsid w:val="00D248DE"/>
    <w:rsid w:val="00D25427"/>
    <w:rsid w:val="00D31B74"/>
    <w:rsid w:val="00D33F38"/>
    <w:rsid w:val="00D3564D"/>
    <w:rsid w:val="00D62128"/>
    <w:rsid w:val="00D759F1"/>
    <w:rsid w:val="00D8542D"/>
    <w:rsid w:val="00DB11E1"/>
    <w:rsid w:val="00DB4E6F"/>
    <w:rsid w:val="00DC62F6"/>
    <w:rsid w:val="00DC6A71"/>
    <w:rsid w:val="00DD6CC3"/>
    <w:rsid w:val="00DE5B46"/>
    <w:rsid w:val="00E0357D"/>
    <w:rsid w:val="00E24EC2"/>
    <w:rsid w:val="00E51C0F"/>
    <w:rsid w:val="00E8201C"/>
    <w:rsid w:val="00E94ECF"/>
    <w:rsid w:val="00ED00D1"/>
    <w:rsid w:val="00ED7E82"/>
    <w:rsid w:val="00EF3280"/>
    <w:rsid w:val="00F0025B"/>
    <w:rsid w:val="00F02E53"/>
    <w:rsid w:val="00F240BB"/>
    <w:rsid w:val="00F42CE8"/>
    <w:rsid w:val="00F46724"/>
    <w:rsid w:val="00F47F58"/>
    <w:rsid w:val="00F57FED"/>
    <w:rsid w:val="00FD746A"/>
    <w:rsid w:val="00FE6E1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F7237F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Golobesedilo">
    <w:name w:val="Plain Text"/>
    <w:basedOn w:val="Navaden"/>
    <w:link w:val="GolobesediloZnak"/>
    <w:rsid w:val="0055206D"/>
    <w:pPr>
      <w:spacing w:after="120" w:line="240" w:lineRule="auto"/>
      <w:ind w:right="-284"/>
      <w:jc w:val="both"/>
    </w:pPr>
    <w:rPr>
      <w:rFonts w:ascii="Courier New" w:hAnsi="Courier New" w:cs="Arial"/>
      <w:szCs w:val="22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55206D"/>
    <w:rPr>
      <w:rFonts w:ascii="Courier New" w:hAnsi="Courier New" w:cs="Arial"/>
      <w:szCs w:val="22"/>
    </w:rPr>
  </w:style>
  <w:style w:type="character" w:styleId="Krepko">
    <w:name w:val="Strong"/>
    <w:basedOn w:val="Privzetapisavaodstavka"/>
    <w:uiPriority w:val="22"/>
    <w:qFormat/>
    <w:rsid w:val="00552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rs.si/Pis.web/pregledPredpisa?id=ZAKO468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3B16-704B-4C90-9143-840AD2D6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12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Lavrič</dc:creator>
  <cp:lastModifiedBy>FURS</cp:lastModifiedBy>
  <cp:revision>3</cp:revision>
  <cp:lastPrinted>2023-08-18T06:00:00Z</cp:lastPrinted>
  <dcterms:created xsi:type="dcterms:W3CDTF">2023-08-18T07:31:00Z</dcterms:created>
  <dcterms:modified xsi:type="dcterms:W3CDTF">2023-08-18T07:42:00Z</dcterms:modified>
</cp:coreProperties>
</file>