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F81A" w14:textId="7A8B1558" w:rsidR="005866A7" w:rsidRDefault="005866A7" w:rsidP="005866A7">
      <w:pPr>
        <w:rPr>
          <w:lang w:val="sl-SI"/>
        </w:rPr>
      </w:pPr>
    </w:p>
    <w:p w14:paraId="44BED8AA" w14:textId="688AC9CC" w:rsidR="005866A7" w:rsidRDefault="005866A7" w:rsidP="005866A7">
      <w:pPr>
        <w:rPr>
          <w:lang w:val="sl-SI"/>
        </w:rPr>
      </w:pPr>
    </w:p>
    <w:p w14:paraId="2F6C815C" w14:textId="70AB6FA0" w:rsidR="005866A7" w:rsidRDefault="005866A7" w:rsidP="005866A7">
      <w:pPr>
        <w:rPr>
          <w:lang w:val="sl-SI"/>
        </w:rPr>
      </w:pPr>
    </w:p>
    <w:p w14:paraId="7BE638B8" w14:textId="4A1AE4C0" w:rsidR="005866A7" w:rsidRDefault="005866A7" w:rsidP="005866A7">
      <w:pPr>
        <w:rPr>
          <w:lang w:val="sl-SI"/>
        </w:rPr>
      </w:pPr>
    </w:p>
    <w:p w14:paraId="04C687F9" w14:textId="77777777" w:rsidR="005866A7" w:rsidRDefault="005866A7" w:rsidP="005866A7">
      <w:pPr>
        <w:rPr>
          <w:lang w:val="sl-SI"/>
        </w:rPr>
      </w:pPr>
    </w:p>
    <w:p w14:paraId="501F4257" w14:textId="77777777" w:rsidR="005866A7" w:rsidRDefault="005866A7" w:rsidP="005866A7">
      <w:pPr>
        <w:rPr>
          <w:b/>
          <w:bCs/>
          <w:lang w:val="sl-SI"/>
        </w:rPr>
      </w:pPr>
    </w:p>
    <w:p w14:paraId="089E2C02" w14:textId="77777777" w:rsidR="005866A7" w:rsidRDefault="005866A7" w:rsidP="005866A7">
      <w:pPr>
        <w:rPr>
          <w:b/>
          <w:bCs/>
          <w:lang w:val="sl-SI"/>
        </w:rPr>
      </w:pPr>
    </w:p>
    <w:p w14:paraId="3B940766" w14:textId="77777777" w:rsidR="005866A7" w:rsidRDefault="005866A7" w:rsidP="005866A7">
      <w:pPr>
        <w:rPr>
          <w:b/>
          <w:bCs/>
          <w:lang w:val="sl-SI"/>
        </w:rPr>
      </w:pPr>
    </w:p>
    <w:p w14:paraId="45F55701" w14:textId="370AFCE1" w:rsidR="005866A7" w:rsidRDefault="005866A7" w:rsidP="005866A7">
      <w:pPr>
        <w:rPr>
          <w:b/>
          <w:bCs/>
          <w:lang w:val="sl-SI"/>
        </w:rPr>
      </w:pPr>
      <w:r w:rsidRPr="005866A7">
        <w:rPr>
          <w:b/>
          <w:bCs/>
          <w:lang w:val="sl-SI"/>
        </w:rPr>
        <w:t>Pojasnilo glede DDV obravnave nadomestil za uveljavljanje pravic izvajalcev in proizvajalcev fonogramov</w:t>
      </w:r>
    </w:p>
    <w:p w14:paraId="74754BB1" w14:textId="77777777" w:rsidR="005866A7" w:rsidRPr="005866A7" w:rsidRDefault="005866A7" w:rsidP="005866A7">
      <w:pPr>
        <w:rPr>
          <w:b/>
          <w:bCs/>
          <w:lang w:val="sl-SI"/>
        </w:rPr>
      </w:pPr>
    </w:p>
    <w:p w14:paraId="224E6F2A" w14:textId="1DAB16F2" w:rsidR="005866A7" w:rsidRPr="008F537E" w:rsidRDefault="005866A7" w:rsidP="005866A7">
      <w:pPr>
        <w:rPr>
          <w:b/>
          <w:bCs/>
          <w:lang w:val="sl-SI"/>
        </w:rPr>
      </w:pPr>
      <w:r w:rsidRPr="005866A7">
        <w:rPr>
          <w:b/>
          <w:bCs/>
          <w:lang w:val="sl-SI"/>
        </w:rPr>
        <w:t xml:space="preserve">Pojasnilo FURS </w:t>
      </w:r>
      <w:r w:rsidRPr="008F537E">
        <w:rPr>
          <w:b/>
          <w:bCs/>
          <w:lang w:val="sl-SI"/>
        </w:rPr>
        <w:t xml:space="preserve">št. </w:t>
      </w:r>
      <w:r w:rsidR="008F537E" w:rsidRPr="008F537E">
        <w:rPr>
          <w:b/>
          <w:bCs/>
          <w:lang w:val="sl-SI"/>
        </w:rPr>
        <w:t>4230-295/2022-1</w:t>
      </w:r>
      <w:r w:rsidRPr="008F537E">
        <w:rPr>
          <w:b/>
          <w:bCs/>
          <w:lang w:val="sl-SI"/>
        </w:rPr>
        <w:t xml:space="preserve"> z dne </w:t>
      </w:r>
      <w:r w:rsidR="008F537E" w:rsidRPr="008F537E">
        <w:rPr>
          <w:b/>
          <w:bCs/>
          <w:lang w:val="sl-SI"/>
        </w:rPr>
        <w:t>21. 09. 2022</w:t>
      </w:r>
    </w:p>
    <w:p w14:paraId="4B87D402" w14:textId="521E8C1E" w:rsidR="007D75CF" w:rsidRDefault="007D75CF" w:rsidP="007D75CF">
      <w:pPr>
        <w:rPr>
          <w:lang w:val="sl-SI"/>
        </w:rPr>
      </w:pPr>
    </w:p>
    <w:p w14:paraId="34DD1E81" w14:textId="77777777" w:rsidR="007D75CF" w:rsidRPr="00BC2517" w:rsidRDefault="007D75CF" w:rsidP="007D75CF">
      <w:pPr>
        <w:rPr>
          <w:lang w:val="sl-SI"/>
        </w:rPr>
      </w:pPr>
    </w:p>
    <w:p w14:paraId="40F7CAC4" w14:textId="77777777" w:rsidR="00B67922" w:rsidRPr="007C1503" w:rsidRDefault="00B67922" w:rsidP="00B67922">
      <w:pPr>
        <w:jc w:val="both"/>
        <w:rPr>
          <w:rFonts w:cs="Arial"/>
          <w:szCs w:val="20"/>
          <w:lang w:val="sl-SI"/>
        </w:rPr>
      </w:pPr>
      <w:bookmarkStart w:id="0" w:name="_Hlk96407304"/>
      <w:r w:rsidRPr="007C1503">
        <w:rPr>
          <w:lang w:val="sl-SI"/>
        </w:rPr>
        <w:t xml:space="preserve">Obveščamo vas o spremembi </w:t>
      </w:r>
      <w:r>
        <w:rPr>
          <w:lang w:val="sl-SI"/>
        </w:rPr>
        <w:t xml:space="preserve">in dopolnitvi </w:t>
      </w:r>
      <w:r w:rsidRPr="007C1503">
        <w:rPr>
          <w:lang w:val="sl-SI"/>
        </w:rPr>
        <w:t xml:space="preserve">stališča glede DDV obravnave nadomestil za uveljavljanje pravic izvajalcev in proizvajalcev fonogramov na podlagi sodbe Sodišča EU v zadevi </w:t>
      </w:r>
      <w:hyperlink r:id="rId8" w:history="1">
        <w:r w:rsidRPr="00A6459A">
          <w:rPr>
            <w:rStyle w:val="Hiperpovezava"/>
            <w:lang w:val="sl-SI"/>
          </w:rPr>
          <w:t>C</w:t>
        </w:r>
        <w:r w:rsidRPr="00A6459A">
          <w:rPr>
            <w:rStyle w:val="Hiperpovezava"/>
            <w:lang w:val="sl-SI"/>
          </w:rPr>
          <w:noBreakHyphen/>
          <w:t>501/19</w:t>
        </w:r>
      </w:hyperlink>
      <w:r>
        <w:rPr>
          <w:lang w:val="sl-SI"/>
        </w:rPr>
        <w:t xml:space="preserve">. </w:t>
      </w:r>
    </w:p>
    <w:p w14:paraId="7D2AA1EF" w14:textId="77777777" w:rsidR="00B67922" w:rsidRDefault="00B67922" w:rsidP="00B67922">
      <w:pPr>
        <w:jc w:val="both"/>
        <w:rPr>
          <w:rFonts w:cs="Arial"/>
          <w:szCs w:val="20"/>
          <w:lang w:val="sl-SI"/>
        </w:rPr>
      </w:pPr>
    </w:p>
    <w:p w14:paraId="67933AC5" w14:textId="77777777" w:rsidR="00B67922" w:rsidRDefault="00B67922" w:rsidP="00B67922">
      <w:pPr>
        <w:jc w:val="both"/>
        <w:rPr>
          <w:i/>
          <w:iCs/>
          <w:lang w:val="sl-SI"/>
        </w:rPr>
      </w:pPr>
      <w:bookmarkStart w:id="1" w:name="_Hlk108604090"/>
      <w:r w:rsidRPr="00423985">
        <w:rPr>
          <w:i/>
          <w:iCs/>
          <w:lang w:val="sl-SI"/>
        </w:rPr>
        <w:t xml:space="preserve">Nadomestilo za uveljavljanje pravic pri javni priobčitvi fonograma </w:t>
      </w:r>
      <w:r>
        <w:rPr>
          <w:i/>
          <w:iCs/>
          <w:lang w:val="sl-SI"/>
        </w:rPr>
        <w:t>je</w:t>
      </w:r>
      <w:r w:rsidRPr="00423985">
        <w:rPr>
          <w:i/>
          <w:iCs/>
          <w:lang w:val="sl-SI"/>
        </w:rPr>
        <w:t xml:space="preserve"> predmet obdavčitve z DDV</w:t>
      </w:r>
      <w:r>
        <w:rPr>
          <w:i/>
          <w:iCs/>
          <w:lang w:val="sl-SI"/>
        </w:rPr>
        <w:t>.</w:t>
      </w:r>
    </w:p>
    <w:p w14:paraId="1642759B" w14:textId="77777777" w:rsidR="00B67922" w:rsidRDefault="00B67922" w:rsidP="00B67922">
      <w:pPr>
        <w:jc w:val="both"/>
        <w:rPr>
          <w:i/>
          <w:iCs/>
          <w:lang w:val="sl-SI"/>
        </w:rPr>
      </w:pPr>
    </w:p>
    <w:p w14:paraId="0EA66D37" w14:textId="77777777" w:rsidR="00B67922" w:rsidRDefault="00B67922" w:rsidP="00B67922">
      <w:pPr>
        <w:jc w:val="both"/>
        <w:rPr>
          <w:rFonts w:cs="Arial"/>
          <w:i/>
          <w:iCs/>
          <w:szCs w:val="20"/>
          <w:lang w:val="sl-SI"/>
        </w:rPr>
      </w:pPr>
      <w:r>
        <w:rPr>
          <w:i/>
          <w:iCs/>
          <w:lang w:val="sl-SI"/>
        </w:rPr>
        <w:t>P</w:t>
      </w:r>
      <w:r w:rsidRPr="00423985">
        <w:rPr>
          <w:i/>
          <w:iCs/>
          <w:lang w:val="sl-SI"/>
        </w:rPr>
        <w:t>ooblaščen</w:t>
      </w:r>
      <w:r>
        <w:rPr>
          <w:i/>
          <w:iCs/>
          <w:lang w:val="sl-SI"/>
        </w:rPr>
        <w:t>a</w:t>
      </w:r>
      <w:r w:rsidRPr="00423985">
        <w:rPr>
          <w:i/>
          <w:iCs/>
          <w:lang w:val="sl-SI"/>
        </w:rPr>
        <w:t xml:space="preserve"> kolektivn</w:t>
      </w:r>
      <w:r>
        <w:rPr>
          <w:i/>
          <w:iCs/>
          <w:lang w:val="sl-SI"/>
        </w:rPr>
        <w:t>a</w:t>
      </w:r>
      <w:r w:rsidRPr="00423985">
        <w:rPr>
          <w:i/>
          <w:iCs/>
          <w:lang w:val="sl-SI"/>
        </w:rPr>
        <w:t xml:space="preserve"> organizacij</w:t>
      </w:r>
      <w:r>
        <w:rPr>
          <w:i/>
          <w:iCs/>
          <w:lang w:val="sl-SI"/>
        </w:rPr>
        <w:t>a</w:t>
      </w:r>
      <w:r w:rsidRPr="00423985">
        <w:rPr>
          <w:i/>
          <w:iCs/>
          <w:lang w:val="sl-SI"/>
        </w:rPr>
        <w:t xml:space="preserve"> </w:t>
      </w:r>
      <w:r w:rsidRPr="00D95D26">
        <w:rPr>
          <w:rFonts w:cs="Arial"/>
          <w:i/>
          <w:iCs/>
          <w:szCs w:val="20"/>
          <w:lang w:val="sl-SI"/>
        </w:rPr>
        <w:t xml:space="preserve">mora </w:t>
      </w:r>
      <w:r>
        <w:rPr>
          <w:rFonts w:cs="Arial"/>
          <w:i/>
          <w:iCs/>
          <w:szCs w:val="20"/>
          <w:lang w:val="sl-SI"/>
        </w:rPr>
        <w:t xml:space="preserve">za opravljeno storitev </w:t>
      </w:r>
      <w:r w:rsidRPr="00D95D26">
        <w:rPr>
          <w:rFonts w:cs="Arial"/>
          <w:i/>
          <w:iCs/>
          <w:szCs w:val="20"/>
          <w:lang w:val="sl-SI"/>
        </w:rPr>
        <w:t>končnemu uporabniku v svojem imenu izdati račun</w:t>
      </w:r>
      <w:r>
        <w:rPr>
          <w:rFonts w:cs="Arial"/>
          <w:i/>
          <w:iCs/>
          <w:szCs w:val="20"/>
          <w:lang w:val="sl-SI"/>
        </w:rPr>
        <w:t xml:space="preserve"> z obračunanim DDV</w:t>
      </w:r>
      <w:r w:rsidRPr="00D95D26">
        <w:rPr>
          <w:rFonts w:cs="Arial"/>
          <w:i/>
          <w:iCs/>
          <w:szCs w:val="20"/>
          <w:lang w:val="sl-SI"/>
        </w:rPr>
        <w:t>.</w:t>
      </w:r>
      <w:r>
        <w:rPr>
          <w:rFonts w:cs="Arial"/>
          <w:i/>
          <w:iCs/>
          <w:szCs w:val="20"/>
          <w:lang w:val="sl-SI"/>
        </w:rPr>
        <w:t xml:space="preserve"> Če je </w:t>
      </w:r>
      <w:r w:rsidRPr="00D95D26">
        <w:rPr>
          <w:rFonts w:cs="Arial"/>
          <w:i/>
          <w:iCs/>
          <w:szCs w:val="20"/>
          <w:lang w:val="sl-SI"/>
        </w:rPr>
        <w:t xml:space="preserve">imetnik avtorskih pravic </w:t>
      </w:r>
      <w:r>
        <w:rPr>
          <w:rFonts w:cs="Arial"/>
          <w:i/>
          <w:iCs/>
          <w:szCs w:val="20"/>
          <w:lang w:val="sl-SI"/>
        </w:rPr>
        <w:t>davčni zavezanec, mora</w:t>
      </w:r>
      <w:r w:rsidRPr="00D95D26">
        <w:rPr>
          <w:rFonts w:cs="Arial"/>
          <w:i/>
          <w:iCs/>
          <w:szCs w:val="20"/>
          <w:lang w:val="sl-SI"/>
        </w:rPr>
        <w:t xml:space="preserve"> </w:t>
      </w:r>
      <w:r>
        <w:rPr>
          <w:rFonts w:cs="Arial"/>
          <w:i/>
          <w:iCs/>
          <w:szCs w:val="20"/>
          <w:lang w:val="sl-SI"/>
        </w:rPr>
        <w:t xml:space="preserve">zagotoviti, da je za storitev, opravljeno v okviru prejetega nadomestila, </w:t>
      </w:r>
      <w:r w:rsidRPr="00D95D26">
        <w:rPr>
          <w:rFonts w:cs="Arial"/>
          <w:i/>
          <w:iCs/>
          <w:szCs w:val="20"/>
          <w:lang w:val="sl-SI"/>
        </w:rPr>
        <w:t xml:space="preserve">organizaciji za kolektivno upravljanje </w:t>
      </w:r>
      <w:r>
        <w:rPr>
          <w:rFonts w:cs="Arial"/>
          <w:i/>
          <w:iCs/>
          <w:szCs w:val="20"/>
          <w:lang w:val="sl-SI"/>
        </w:rPr>
        <w:t xml:space="preserve">izdan račun </w:t>
      </w:r>
      <w:r w:rsidRPr="00D95D26">
        <w:rPr>
          <w:rFonts w:cs="Arial"/>
          <w:i/>
          <w:iCs/>
          <w:szCs w:val="20"/>
          <w:lang w:val="sl-SI"/>
        </w:rPr>
        <w:t>z vključenim DDV</w:t>
      </w:r>
      <w:r>
        <w:rPr>
          <w:rFonts w:cs="Arial"/>
          <w:i/>
          <w:iCs/>
          <w:szCs w:val="20"/>
          <w:lang w:val="sl-SI"/>
        </w:rPr>
        <w:t>.</w:t>
      </w:r>
    </w:p>
    <w:p w14:paraId="21B88969" w14:textId="77777777" w:rsidR="00B67922" w:rsidRDefault="00B67922" w:rsidP="00B67922">
      <w:pPr>
        <w:jc w:val="both"/>
        <w:rPr>
          <w:rFonts w:cs="Arial"/>
          <w:i/>
          <w:iCs/>
          <w:szCs w:val="20"/>
          <w:lang w:val="sl-SI"/>
        </w:rPr>
      </w:pPr>
    </w:p>
    <w:p w14:paraId="3F7C3DFD" w14:textId="77777777" w:rsidR="00B67922" w:rsidRPr="00897C92" w:rsidRDefault="00B67922" w:rsidP="00B67922">
      <w:pPr>
        <w:jc w:val="both"/>
        <w:rPr>
          <w:rFonts w:cs="Arial"/>
          <w:i/>
          <w:iCs/>
          <w:lang w:val="sl-SI"/>
        </w:rPr>
      </w:pPr>
      <w:r w:rsidRPr="00EE49E2">
        <w:rPr>
          <w:rFonts w:cs="Arial"/>
          <w:i/>
          <w:iCs/>
          <w:lang w:val="sl-SI"/>
        </w:rPr>
        <w:t xml:space="preserve">Za </w:t>
      </w:r>
      <w:r w:rsidRPr="00897C92">
        <w:rPr>
          <w:rFonts w:cs="Arial"/>
          <w:i/>
          <w:iCs/>
          <w:lang w:val="sl-SI"/>
        </w:rPr>
        <w:t xml:space="preserve">avtorske pravice </w:t>
      </w:r>
      <w:r w:rsidRPr="00897C92">
        <w:rPr>
          <w:rFonts w:cs="Arial"/>
          <w:i/>
          <w:iCs/>
          <w:color w:val="000000"/>
          <w:szCs w:val="20"/>
          <w:lang w:val="sl-SI"/>
        </w:rPr>
        <w:t>knji</w:t>
      </w:r>
      <w:r w:rsidRPr="00897C92">
        <w:rPr>
          <w:rFonts w:cs="Arial" w:hint="eastAsia"/>
          <w:i/>
          <w:iCs/>
          <w:color w:val="000000"/>
          <w:szCs w:val="20"/>
          <w:lang w:val="sl-SI"/>
        </w:rPr>
        <w:t>ž</w:t>
      </w:r>
      <w:r w:rsidRPr="00897C92">
        <w:rPr>
          <w:rFonts w:cs="Arial"/>
          <w:i/>
          <w:iCs/>
          <w:color w:val="000000"/>
          <w:szCs w:val="20"/>
          <w:lang w:val="sl-SI"/>
        </w:rPr>
        <w:t xml:space="preserve">evnikov in skladateljev ter storitve izvajalskih umetnikov </w:t>
      </w:r>
      <w:r w:rsidRPr="00EE49E2">
        <w:rPr>
          <w:rFonts w:cs="Arial"/>
          <w:i/>
          <w:iCs/>
          <w:lang w:val="sl-SI"/>
        </w:rPr>
        <w:t xml:space="preserve">se obračuna </w:t>
      </w:r>
      <w:r>
        <w:rPr>
          <w:rFonts w:cs="Arial"/>
          <w:i/>
          <w:iCs/>
          <w:lang w:val="sl-SI"/>
        </w:rPr>
        <w:t xml:space="preserve">DDV po </w:t>
      </w:r>
      <w:r w:rsidRPr="00EE49E2">
        <w:rPr>
          <w:rFonts w:cs="Arial"/>
          <w:i/>
          <w:iCs/>
          <w:lang w:val="sl-SI"/>
        </w:rPr>
        <w:t>nižj</w:t>
      </w:r>
      <w:r>
        <w:rPr>
          <w:rFonts w:cs="Arial"/>
          <w:i/>
          <w:iCs/>
          <w:lang w:val="sl-SI"/>
        </w:rPr>
        <w:t>i</w:t>
      </w:r>
      <w:r w:rsidRPr="00EE49E2">
        <w:rPr>
          <w:rFonts w:cs="Arial"/>
          <w:i/>
          <w:iCs/>
          <w:lang w:val="sl-SI"/>
        </w:rPr>
        <w:t>, 9,5-odstotn</w:t>
      </w:r>
      <w:r>
        <w:rPr>
          <w:rFonts w:cs="Arial"/>
          <w:i/>
          <w:iCs/>
          <w:lang w:val="sl-SI"/>
        </w:rPr>
        <w:t>i</w:t>
      </w:r>
      <w:r w:rsidRPr="00EE49E2">
        <w:rPr>
          <w:rFonts w:cs="Arial"/>
          <w:i/>
          <w:iCs/>
          <w:lang w:val="sl-SI"/>
        </w:rPr>
        <w:t xml:space="preserve"> stopnj</w:t>
      </w:r>
      <w:r>
        <w:rPr>
          <w:rFonts w:cs="Arial"/>
          <w:i/>
          <w:iCs/>
          <w:lang w:val="sl-SI"/>
        </w:rPr>
        <w:t>i</w:t>
      </w:r>
      <w:r w:rsidRPr="00EE49E2">
        <w:rPr>
          <w:rFonts w:cs="Arial"/>
          <w:i/>
          <w:iCs/>
          <w:lang w:val="sl-SI"/>
        </w:rPr>
        <w:t xml:space="preserve"> DDV. </w:t>
      </w:r>
      <w:bookmarkEnd w:id="1"/>
      <w:r w:rsidRPr="00897C92">
        <w:rPr>
          <w:rFonts w:cs="Arial"/>
          <w:i/>
          <w:iCs/>
          <w:lang w:val="sl-SI"/>
        </w:rPr>
        <w:t>Če ne gre za te storitve, se obračuna DDV po splo</w:t>
      </w:r>
      <w:r w:rsidRPr="00897C92">
        <w:rPr>
          <w:rFonts w:cs="Arial" w:hint="eastAsia"/>
          <w:i/>
          <w:iCs/>
          <w:lang w:val="sl-SI"/>
        </w:rPr>
        <w:t>š</w:t>
      </w:r>
      <w:r w:rsidRPr="00897C92">
        <w:rPr>
          <w:rFonts w:cs="Arial"/>
          <w:i/>
          <w:iCs/>
          <w:lang w:val="sl-SI"/>
        </w:rPr>
        <w:t>ni, 22-odstotni stopnji.</w:t>
      </w:r>
    </w:p>
    <w:p w14:paraId="1C62D945" w14:textId="77777777" w:rsidR="00B67922" w:rsidRDefault="00B67922" w:rsidP="00B67922">
      <w:pPr>
        <w:jc w:val="both"/>
        <w:rPr>
          <w:rFonts w:cs="Arial"/>
          <w:szCs w:val="20"/>
          <w:lang w:val="sl-SI"/>
        </w:rPr>
      </w:pPr>
    </w:p>
    <w:p w14:paraId="1735F50D" w14:textId="77777777" w:rsidR="00B67922" w:rsidRDefault="00B67922" w:rsidP="00B67922">
      <w:pPr>
        <w:jc w:val="both"/>
        <w:rPr>
          <w:lang w:val="sl-SI"/>
        </w:rPr>
      </w:pPr>
      <w:r w:rsidRPr="00773B19">
        <w:rPr>
          <w:lang w:val="sl-SI"/>
        </w:rPr>
        <w:t>Pravica reproduciranja je na ravni EU urejena z Direktivo 2001/29/ES Evropskega parlamenta in Sveta z dne 22. maja 2001 o usklajevanju določenih vidikov avtorskih in sorodnih pravic v informacijski družbi (v nadaljevanju Direktiva 2001/29/ES), po kateri so imetniki teh pravic v primerih, ko se v zakonodaji držav članic določi omejitev pravice za privatno reproduciranje, upravičeni do pravičnega nadomestila.</w:t>
      </w:r>
    </w:p>
    <w:p w14:paraId="0C06A40E" w14:textId="77777777" w:rsidR="00B67922" w:rsidRDefault="00B67922" w:rsidP="00B67922">
      <w:pPr>
        <w:jc w:val="both"/>
        <w:rPr>
          <w:lang w:val="sl-SI"/>
        </w:rPr>
      </w:pPr>
    </w:p>
    <w:p w14:paraId="75D066A1" w14:textId="77777777" w:rsidR="00B67922" w:rsidRDefault="00B67922" w:rsidP="00B67922">
      <w:pPr>
        <w:jc w:val="both"/>
        <w:rPr>
          <w:lang w:val="sl-SI"/>
        </w:rPr>
      </w:pPr>
      <w:r w:rsidRPr="00773B19">
        <w:rPr>
          <w:lang w:val="sl-SI"/>
        </w:rPr>
        <w:t xml:space="preserve">Pravice izvajalcev in proizvajalcev fonogramov v slovenski zakonodaji ureja </w:t>
      </w:r>
      <w:hyperlink r:id="rId9" w:history="1">
        <w:r w:rsidRPr="00465BA9">
          <w:rPr>
            <w:rStyle w:val="Hiperpovezava"/>
            <w:lang w:val="sl-SI"/>
          </w:rPr>
          <w:t>Zakon o avtorski in sorodnih pravicah – ZASP</w:t>
        </w:r>
      </w:hyperlink>
      <w:r>
        <w:rPr>
          <w:lang w:val="sl-SI"/>
        </w:rPr>
        <w:t xml:space="preserve">. </w:t>
      </w:r>
      <w:r w:rsidRPr="00773B19">
        <w:rPr>
          <w:lang w:val="sl-SI"/>
        </w:rPr>
        <w:t xml:space="preserve">Imetniki navedenih pravic lahko svoje pravice na že objavljenih avtorskih delih upravljajo le prek kolektivne organizacije (obvezno kolektivno upravljanje) v skladu z 9. členom </w:t>
      </w:r>
      <w:hyperlink r:id="rId10" w:history="1">
        <w:r w:rsidRPr="00465BA9">
          <w:rPr>
            <w:rStyle w:val="Hiperpovezava"/>
            <w:lang w:val="sl-SI"/>
          </w:rPr>
          <w:t>Zakona o kolektivnem upravljanju avtorske in sorodnih pravic – ZKUASP</w:t>
        </w:r>
      </w:hyperlink>
      <w:r>
        <w:rPr>
          <w:lang w:val="sl-SI"/>
        </w:rPr>
        <w:t>.</w:t>
      </w:r>
      <w:r w:rsidRPr="00773B19">
        <w:rPr>
          <w:lang w:val="sl-SI"/>
        </w:rPr>
        <w:t xml:space="preserve"> </w:t>
      </w:r>
    </w:p>
    <w:p w14:paraId="56FE1B82" w14:textId="77777777" w:rsidR="00B67922" w:rsidRDefault="00B67922" w:rsidP="00B67922">
      <w:pPr>
        <w:jc w:val="both"/>
        <w:rPr>
          <w:lang w:val="sl-SI"/>
        </w:rPr>
      </w:pPr>
    </w:p>
    <w:p w14:paraId="6D722F27" w14:textId="77777777" w:rsidR="00B67922" w:rsidRDefault="00B67922" w:rsidP="00B67922">
      <w:pPr>
        <w:jc w:val="both"/>
        <w:rPr>
          <w:lang w:val="sl-SI"/>
        </w:rPr>
      </w:pPr>
      <w:r w:rsidRPr="00773B19">
        <w:rPr>
          <w:lang w:val="sl-SI"/>
        </w:rPr>
        <w:t xml:space="preserve">Drugi odstavek 22. člena ZASP med materialne avtorske pravice uvršča uporabo dela v netelesni obliki (priobčitev javnosti), ki med drugimi zajema tudi pravico javnega predvajanja s fonogrami in </w:t>
      </w:r>
      <w:proofErr w:type="spellStart"/>
      <w:r w:rsidRPr="00773B19">
        <w:rPr>
          <w:lang w:val="sl-SI"/>
        </w:rPr>
        <w:t>videogrami</w:t>
      </w:r>
      <w:proofErr w:type="spellEnd"/>
      <w:r w:rsidRPr="00773B19">
        <w:rPr>
          <w:lang w:val="sl-SI"/>
        </w:rPr>
        <w:t xml:space="preserve">, ki je na podlagi 28. člena ZASP izključna pravica, da se recitacije, izvedbe ali uprizoritve dela, ki so posnete na fonograme ali </w:t>
      </w:r>
      <w:proofErr w:type="spellStart"/>
      <w:r w:rsidRPr="00773B19">
        <w:rPr>
          <w:lang w:val="sl-SI"/>
        </w:rPr>
        <w:t>videograme</w:t>
      </w:r>
      <w:proofErr w:type="spellEnd"/>
      <w:r w:rsidRPr="00773B19">
        <w:rPr>
          <w:lang w:val="sl-SI"/>
        </w:rPr>
        <w:t xml:space="preserve">, priobčijo javnosti. </w:t>
      </w:r>
    </w:p>
    <w:p w14:paraId="5087DEB5" w14:textId="77777777" w:rsidR="00B67922" w:rsidRDefault="00B67922" w:rsidP="00B67922">
      <w:pPr>
        <w:jc w:val="both"/>
        <w:rPr>
          <w:lang w:val="sl-SI"/>
        </w:rPr>
      </w:pPr>
    </w:p>
    <w:p w14:paraId="0777A331" w14:textId="77777777" w:rsidR="00B67922" w:rsidRPr="006851D2" w:rsidRDefault="00B67922" w:rsidP="00B67922">
      <w:pPr>
        <w:jc w:val="both"/>
        <w:rPr>
          <w:lang w:val="sl-SI"/>
        </w:rPr>
      </w:pPr>
      <w:r>
        <w:rPr>
          <w:lang w:val="sl-SI"/>
        </w:rPr>
        <w:t xml:space="preserve">V skladu z določbo 1. točke 128. člena ZASP je </w:t>
      </w:r>
      <w:r w:rsidRPr="006851D2">
        <w:rPr>
          <w:lang w:val="sl-SI"/>
        </w:rPr>
        <w:t>proizvajalec fonogramov fizična ali pravna oseba, ki prevzame pobudo in odgovornost za prvi posnetek zvokov neke izvedbe ali drugih zvokov, ali nadomestkov zvokov pri čemer skladno z 2. točko istega člena tega zakona</w:t>
      </w:r>
      <w:r>
        <w:rPr>
          <w:lang w:val="sl-SI"/>
        </w:rPr>
        <w:t>,</w:t>
      </w:r>
      <w:r w:rsidRPr="006851D2">
        <w:rPr>
          <w:lang w:val="sl-SI"/>
        </w:rPr>
        <w:t xml:space="preserve"> fonogram pomeni </w:t>
      </w:r>
      <w:r w:rsidRPr="006851D2">
        <w:rPr>
          <w:lang w:val="sl-SI"/>
        </w:rPr>
        <w:lastRenderedPageBreak/>
        <w:t xml:space="preserve">posnetek zvokov neke izvedbe ali drugih zvokov, ali nadomestka zvokov, razen če gre za posnetek, ki je vključen v avdiovizualno delo. </w:t>
      </w:r>
    </w:p>
    <w:p w14:paraId="13BC55B0" w14:textId="77777777" w:rsidR="00B67922" w:rsidRPr="006851D2" w:rsidRDefault="00B67922" w:rsidP="00B67922">
      <w:pPr>
        <w:jc w:val="both"/>
        <w:rPr>
          <w:lang w:val="sl-SI"/>
        </w:rPr>
      </w:pPr>
    </w:p>
    <w:p w14:paraId="3B2FEDF8" w14:textId="77777777" w:rsidR="00B67922" w:rsidRPr="006851D2" w:rsidRDefault="00B67922" w:rsidP="00B67922">
      <w:pPr>
        <w:jc w:val="both"/>
        <w:rPr>
          <w:lang w:val="sl-SI"/>
        </w:rPr>
      </w:pPr>
      <w:r w:rsidRPr="006851D2">
        <w:rPr>
          <w:lang w:val="sl-SI"/>
        </w:rPr>
        <w:t>Nadalje je v 129. členu ZASP določeno, da ima proizvajalec fonogramov izključno pravico reproduciranja svojih fonogramov,</w:t>
      </w:r>
      <w:r>
        <w:rPr>
          <w:lang w:val="sl-SI"/>
        </w:rPr>
        <w:t xml:space="preserve"> </w:t>
      </w:r>
      <w:r w:rsidRPr="006851D2">
        <w:rPr>
          <w:lang w:val="sl-SI"/>
        </w:rPr>
        <w:t>predelave svojih fonogramov, distribuiranja</w:t>
      </w:r>
      <w:r>
        <w:rPr>
          <w:lang w:val="sl-SI"/>
        </w:rPr>
        <w:t xml:space="preserve"> </w:t>
      </w:r>
      <w:r w:rsidRPr="006851D2">
        <w:rPr>
          <w:lang w:val="sl-SI"/>
        </w:rPr>
        <w:t>svojih fonogramov, dajanja v najem svojih fonogramov ter dajanja na voljo javnosti svojih fonogramov.</w:t>
      </w:r>
    </w:p>
    <w:p w14:paraId="38C9234D" w14:textId="77777777" w:rsidR="00B67922" w:rsidRPr="007D1BFE" w:rsidRDefault="00B67922" w:rsidP="00B67922">
      <w:pPr>
        <w:jc w:val="both"/>
        <w:rPr>
          <w:lang w:val="sl-SI"/>
        </w:rPr>
      </w:pPr>
    </w:p>
    <w:p w14:paraId="175C2382" w14:textId="77777777" w:rsidR="00B67922" w:rsidRDefault="00B67922" w:rsidP="00B67922">
      <w:pPr>
        <w:jc w:val="both"/>
        <w:rPr>
          <w:lang w:val="sl-SI"/>
        </w:rPr>
      </w:pPr>
      <w:r w:rsidRPr="00773B19">
        <w:rPr>
          <w:lang w:val="sl-SI"/>
        </w:rPr>
        <w:t>Če se fonogram, ki je bil izdan za komercialne namene (po določbi tretjega odstavka 130. člena ZASP se za komercialne fonograme štejejo tisti fonogrami, ki so bili dani na voljo javnosti na način, ki omogoča dostop do njih s kraja in v času, ki ju sami izberejo), ali njegov posnetek, uporabi za radiodifuzno oddajanje ali kakšno drugo obliko javne priobčitve, je dolžan uporabnik na podlagi prvega odstavka 130. člena ZASP vsakokrat plačati proizvajalcu fonogramov enkratno primerno nadomestilo.</w:t>
      </w:r>
    </w:p>
    <w:p w14:paraId="44CAE03C" w14:textId="77777777" w:rsidR="00B67922" w:rsidRDefault="00B67922" w:rsidP="00B67922">
      <w:pPr>
        <w:jc w:val="both"/>
        <w:rPr>
          <w:lang w:val="sl-SI"/>
        </w:rPr>
      </w:pPr>
    </w:p>
    <w:p w14:paraId="36092581" w14:textId="77777777" w:rsidR="00B67922" w:rsidRDefault="00B67922" w:rsidP="00B67922">
      <w:pPr>
        <w:jc w:val="both"/>
        <w:rPr>
          <w:lang w:val="sl-SI"/>
        </w:rPr>
      </w:pPr>
      <w:r w:rsidRPr="00773B19">
        <w:rPr>
          <w:lang w:val="sl-SI"/>
        </w:rPr>
        <w:t>V skladu z določbo 1. točke 9. člena ZKUASP lahko imetniki navedenih pravic denarna nadomestila uveljavljajo le preko pooblaščene kolektivne organizacije. Na podlagi dovoljenja Urada RS za intelektualno lastnino, pravice proizvajalcev in izvajalcev fonogramov kolektivno upravlja Zavod za uveljavljanje pravic izvajalc</w:t>
      </w:r>
      <w:r>
        <w:rPr>
          <w:lang w:val="sl-SI"/>
        </w:rPr>
        <w:t>ev</w:t>
      </w:r>
      <w:r w:rsidRPr="00773B19">
        <w:rPr>
          <w:lang w:val="sl-SI"/>
        </w:rPr>
        <w:t xml:space="preserve"> in proizvajalcev fonogramov Slovenije (IPF), ki je na tej podlagi tudi upravičen, da za proizvajalce fonogramov in glasbene izvajalce uveljavlja denarna nadomestila za javno priobčevanje komercialnih fonogramov. </w:t>
      </w:r>
    </w:p>
    <w:p w14:paraId="17F09930" w14:textId="77777777" w:rsidR="00B67922" w:rsidRDefault="00B67922" w:rsidP="00B67922">
      <w:pPr>
        <w:jc w:val="both"/>
        <w:rPr>
          <w:lang w:val="sl-SI"/>
        </w:rPr>
      </w:pPr>
    </w:p>
    <w:p w14:paraId="04317951" w14:textId="77777777" w:rsidR="00B67922" w:rsidRPr="00773B19" w:rsidRDefault="00B67922" w:rsidP="00B67922">
      <w:pPr>
        <w:jc w:val="both"/>
        <w:rPr>
          <w:rFonts w:cs="Arial"/>
          <w:szCs w:val="20"/>
          <w:lang w:val="sl-SI"/>
        </w:rPr>
      </w:pPr>
      <w:r w:rsidRPr="00773B19">
        <w:rPr>
          <w:lang w:val="sl-SI"/>
        </w:rPr>
        <w:t xml:space="preserve">V skladu s 3. členom </w:t>
      </w:r>
      <w:hyperlink r:id="rId11" w:history="1">
        <w:r w:rsidRPr="00773B19">
          <w:rPr>
            <w:rStyle w:val="Hiperpovezava"/>
            <w:lang w:val="sl-SI"/>
          </w:rPr>
          <w:t>Zakona o davku na dodano vrednost – ZDDV-1</w:t>
        </w:r>
      </w:hyperlink>
      <w:r w:rsidRPr="00773B19">
        <w:rPr>
          <w:lang w:val="sl-SI"/>
        </w:rPr>
        <w:t xml:space="preserve"> so predmet obdavčitve z DDV dobave blaga in opravljanje storitev, ki jih davčni zavezanec opravi v okviru opravljanja svoje ekonomske dejavnosti na ozemlju Republike Slovenije za plačilo. Iz ustaljene sodne prakse izhaja, da je storitev opravljena za plačilo, če med izvajalcem in prejemnikom storitve obstaja pravno razmerje, v okviru katerega se izmenjajo vzajemne dajatve, pri čemer plačilo, ki ga prejme izvajalec storitev, pomeni dejansko protivrednost storitve, opravljene za prejemnika. Navedeno velja, če obstaja neposredna zveza med opravljeno storitvijo in prejeto protidajatvijo, pri čemer plačani zneski pomenijo ustrezno nadomestilo za individualno storitev, opravljeno v okviru takega pravnega razmerja.</w:t>
      </w:r>
    </w:p>
    <w:p w14:paraId="7907D8B6" w14:textId="77777777" w:rsidR="00B67922" w:rsidRDefault="00B67922" w:rsidP="00B67922">
      <w:pPr>
        <w:jc w:val="both"/>
        <w:rPr>
          <w:rFonts w:cs="Arial"/>
          <w:szCs w:val="20"/>
          <w:lang w:val="sl-SI"/>
        </w:rPr>
      </w:pPr>
    </w:p>
    <w:p w14:paraId="3D11B87A" w14:textId="77777777" w:rsidR="00B67922" w:rsidRDefault="00B67922" w:rsidP="00B67922">
      <w:pPr>
        <w:pStyle w:val="c01pointaltn"/>
        <w:spacing w:before="0" w:beforeAutospacing="0" w:after="0" w:afterAutospacing="0" w:line="260" w:lineRule="atLeast"/>
        <w:jc w:val="both"/>
        <w:rPr>
          <w:rFonts w:ascii="Arial" w:hAnsi="Arial" w:cs="Arial"/>
          <w:sz w:val="20"/>
          <w:szCs w:val="20"/>
          <w:lang w:eastAsia="en-US"/>
        </w:rPr>
      </w:pPr>
      <w:r w:rsidRPr="00770700">
        <w:rPr>
          <w:rFonts w:ascii="Arial" w:hAnsi="Arial" w:cs="Arial"/>
          <w:sz w:val="20"/>
          <w:szCs w:val="20"/>
          <w:lang w:eastAsia="en-US"/>
        </w:rPr>
        <w:t xml:space="preserve">V zadevi </w:t>
      </w:r>
      <w:hyperlink r:id="rId12" w:history="1">
        <w:r w:rsidRPr="00CE5BC2">
          <w:rPr>
            <w:rStyle w:val="Hiperpovezava"/>
            <w:rFonts w:ascii="Arial" w:hAnsi="Arial" w:cs="Arial"/>
            <w:sz w:val="20"/>
            <w:szCs w:val="20"/>
            <w:lang w:eastAsia="en-US"/>
          </w:rPr>
          <w:t>C-501/19</w:t>
        </w:r>
      </w:hyperlink>
      <w:r w:rsidRPr="00770700">
        <w:rPr>
          <w:rFonts w:ascii="Arial" w:hAnsi="Arial" w:cs="Arial"/>
          <w:sz w:val="20"/>
          <w:szCs w:val="20"/>
          <w:lang w:eastAsia="en-US"/>
        </w:rPr>
        <w:t xml:space="preserve"> pravobranilec ugotavlja, da se analiza nanaša na plačilo avtorjem za priobčitev njihovih del javnosti, ne pa na pravično nadomestilo za škodo, ki bi bila posledica predvajanja njihovih del. Čeprav sta torej določitev in prejemanje tega plačila predpisana z zakonom, njune ureditve z gospodarskega vidika ni mogoče izenačiti z ureditvijo, ki jo je sodišče analiziralo v sodbi </w:t>
      </w:r>
      <w:hyperlink r:id="rId13" w:history="1">
        <w:r w:rsidRPr="00A862DA">
          <w:rPr>
            <w:rStyle w:val="Hiperpovezava"/>
            <w:rFonts w:ascii="Arial" w:hAnsi="Arial" w:cs="Arial"/>
            <w:sz w:val="20"/>
            <w:szCs w:val="20"/>
            <w:lang w:eastAsia="en-US"/>
          </w:rPr>
          <w:t>C-37/16</w:t>
        </w:r>
      </w:hyperlink>
      <w:r w:rsidRPr="00770700">
        <w:rPr>
          <w:rFonts w:ascii="Arial" w:hAnsi="Arial" w:cs="Arial"/>
          <w:sz w:val="20"/>
          <w:szCs w:val="20"/>
          <w:lang w:eastAsia="en-US"/>
        </w:rPr>
        <w:t>.</w:t>
      </w:r>
    </w:p>
    <w:p w14:paraId="6BDEEB9F" w14:textId="77777777" w:rsidR="00B67922" w:rsidRDefault="00B67922" w:rsidP="00B67922">
      <w:pPr>
        <w:pStyle w:val="c01pointaltn"/>
        <w:spacing w:before="0" w:beforeAutospacing="0" w:after="0" w:afterAutospacing="0" w:line="260" w:lineRule="atLeast"/>
        <w:jc w:val="both"/>
        <w:rPr>
          <w:rFonts w:ascii="Arial" w:hAnsi="Arial" w:cs="Arial"/>
          <w:sz w:val="20"/>
          <w:szCs w:val="20"/>
          <w:lang w:eastAsia="en-US"/>
        </w:rPr>
      </w:pPr>
    </w:p>
    <w:p w14:paraId="620221A7" w14:textId="77777777" w:rsidR="00B67922" w:rsidRDefault="00B67922" w:rsidP="00B67922">
      <w:pPr>
        <w:pStyle w:val="c01pointaltn"/>
        <w:spacing w:before="0" w:beforeAutospacing="0" w:after="0" w:afterAutospacing="0" w:line="260" w:lineRule="atLeast"/>
        <w:jc w:val="both"/>
        <w:rPr>
          <w:rFonts w:ascii="Arial" w:hAnsi="Arial" w:cs="Arial"/>
          <w:sz w:val="20"/>
          <w:szCs w:val="20"/>
          <w:lang w:eastAsia="en-US"/>
        </w:rPr>
      </w:pPr>
      <w:r w:rsidRPr="00770700">
        <w:rPr>
          <w:rFonts w:ascii="Arial" w:hAnsi="Arial" w:cs="Arial"/>
          <w:sz w:val="20"/>
          <w:szCs w:val="20"/>
          <w:lang w:eastAsia="en-US"/>
        </w:rPr>
        <w:t xml:space="preserve">Sodišče se je v sodbi </w:t>
      </w:r>
      <w:hyperlink r:id="rId14" w:history="1">
        <w:r w:rsidRPr="00CE5BC2">
          <w:rPr>
            <w:rStyle w:val="Hiperpovezava"/>
            <w:rFonts w:ascii="Arial" w:hAnsi="Arial" w:cs="Arial"/>
            <w:sz w:val="20"/>
            <w:szCs w:val="20"/>
            <w:lang w:eastAsia="en-US"/>
          </w:rPr>
          <w:t>C-37/16</w:t>
        </w:r>
      </w:hyperlink>
      <w:r w:rsidRPr="00770700">
        <w:rPr>
          <w:rFonts w:ascii="Arial" w:hAnsi="Arial" w:cs="Arial"/>
          <w:sz w:val="20"/>
          <w:szCs w:val="20"/>
          <w:lang w:eastAsia="en-US"/>
        </w:rPr>
        <w:t xml:space="preserve"> izreklo na eni strani ob upoštevanju tega, da je bilo zadevno nadomestilo proizvajalcem in uvoznikom sredstev za snemanje in reprodukcijo naloženo z zakonom, ki je določal njegov znesek, na drugi strani pa tega, da je bil cilj tega nadomestila financiranje pravičnega nadomestila v korist imetnikov pravic do reprodukcije za škodo, ki je zanje nastala zaradi nespoštovanja njihovih pravic, da konkretno pravično nadomestilo ne pomeni neposredne protidajatve katere koli storitve, saj je povezano s škodo, ki tem imetnikom nastane z reprodukcijo njihovih varovanih del brez njihovega dovoljenja.</w:t>
      </w:r>
    </w:p>
    <w:p w14:paraId="06D1FD48" w14:textId="77777777" w:rsidR="00B67922" w:rsidRDefault="00B67922" w:rsidP="00B67922">
      <w:pPr>
        <w:jc w:val="both"/>
        <w:rPr>
          <w:rFonts w:cs="Arial"/>
          <w:color w:val="000000"/>
          <w:szCs w:val="20"/>
          <w:lang w:val="sl-SI" w:eastAsia="sl-SI"/>
        </w:rPr>
      </w:pPr>
    </w:p>
    <w:p w14:paraId="40EE5F11" w14:textId="77777777" w:rsidR="00B67922" w:rsidRDefault="00B67922" w:rsidP="00B67922">
      <w:pPr>
        <w:jc w:val="both"/>
        <w:rPr>
          <w:rFonts w:cs="Arial"/>
          <w:szCs w:val="20"/>
          <w:lang w:val="sl-SI"/>
        </w:rPr>
      </w:pPr>
      <w:r w:rsidRPr="0074178A">
        <w:rPr>
          <w:rFonts w:cs="Arial"/>
          <w:color w:val="000000"/>
          <w:szCs w:val="20"/>
          <w:lang w:val="sl-SI" w:eastAsia="sl-SI"/>
        </w:rPr>
        <w:t xml:space="preserve">Na podlagi </w:t>
      </w:r>
      <w:r w:rsidRPr="0074178A">
        <w:rPr>
          <w:rFonts w:cs="Arial"/>
          <w:color w:val="000000"/>
          <w:szCs w:val="20"/>
          <w:lang w:val="sl-SI"/>
        </w:rPr>
        <w:t xml:space="preserve">sodbe Sodišča EU v zadevi </w:t>
      </w:r>
      <w:hyperlink r:id="rId15" w:history="1">
        <w:r w:rsidRPr="00CE5BC2">
          <w:rPr>
            <w:rStyle w:val="Hiperpovezava"/>
            <w:rFonts w:cs="Arial"/>
            <w:szCs w:val="20"/>
            <w:lang w:val="sl-SI"/>
          </w:rPr>
          <w:t>C</w:t>
        </w:r>
        <w:r w:rsidRPr="00CE5BC2">
          <w:rPr>
            <w:rStyle w:val="Hiperpovezava"/>
            <w:rFonts w:cs="Arial"/>
            <w:szCs w:val="20"/>
            <w:lang w:val="sl-SI"/>
          </w:rPr>
          <w:noBreakHyphen/>
          <w:t>501/19</w:t>
        </w:r>
      </w:hyperlink>
      <w:r w:rsidRPr="0074178A">
        <w:rPr>
          <w:rFonts w:cs="Arial"/>
          <w:szCs w:val="20"/>
          <w:lang w:val="sl-SI"/>
        </w:rPr>
        <w:t xml:space="preserve"> se </w:t>
      </w:r>
      <w:r>
        <w:rPr>
          <w:rFonts w:cs="Arial"/>
          <w:szCs w:val="20"/>
          <w:lang w:val="sl-SI"/>
        </w:rPr>
        <w:t>vsebina</w:t>
      </w:r>
      <w:r w:rsidRPr="0074178A">
        <w:rPr>
          <w:rFonts w:cs="Arial"/>
          <w:szCs w:val="20"/>
          <w:lang w:val="sl-SI"/>
        </w:rPr>
        <w:t xml:space="preserve"> v primerjavi </w:t>
      </w:r>
      <w:r>
        <w:rPr>
          <w:rFonts w:cs="Arial"/>
          <w:szCs w:val="20"/>
          <w:lang w:val="sl-SI"/>
        </w:rPr>
        <w:t xml:space="preserve">s sodbo v </w:t>
      </w:r>
      <w:r w:rsidRPr="0074178A">
        <w:rPr>
          <w:rFonts w:cs="Arial"/>
          <w:szCs w:val="20"/>
          <w:lang w:val="sl-SI"/>
        </w:rPr>
        <w:t>zadev</w:t>
      </w:r>
      <w:r>
        <w:rPr>
          <w:rFonts w:cs="Arial"/>
          <w:szCs w:val="20"/>
          <w:lang w:val="sl-SI"/>
        </w:rPr>
        <w:t>i</w:t>
      </w:r>
      <w:r w:rsidRPr="0074178A">
        <w:rPr>
          <w:rFonts w:cs="Arial"/>
          <w:szCs w:val="20"/>
          <w:lang w:val="sl-SI"/>
        </w:rPr>
        <w:t xml:space="preserve"> </w:t>
      </w:r>
      <w:hyperlink r:id="rId16" w:history="1">
        <w:r w:rsidRPr="00CE5BC2">
          <w:rPr>
            <w:rStyle w:val="Hiperpovezava"/>
            <w:rFonts w:cs="Arial"/>
            <w:szCs w:val="20"/>
            <w:lang w:val="sl-SI"/>
          </w:rPr>
          <w:t>C</w:t>
        </w:r>
        <w:r w:rsidRPr="00CE5BC2">
          <w:rPr>
            <w:rStyle w:val="Hiperpovezava"/>
            <w:rFonts w:cs="Arial"/>
            <w:szCs w:val="20"/>
            <w:lang w:val="sl-SI"/>
          </w:rPr>
          <w:noBreakHyphen/>
          <w:t>37/16</w:t>
        </w:r>
      </w:hyperlink>
      <w:r w:rsidRPr="0074178A">
        <w:rPr>
          <w:rFonts w:cs="Arial"/>
          <w:szCs w:val="20"/>
          <w:lang w:val="sl-SI"/>
        </w:rPr>
        <w:t xml:space="preserve"> razlikuje v dveh vidikih. Na eni strani obstaja pravno razmerje, v okviru katerega se izmenjajo vzajemne dajatve med imetniki pravic in končnim uporabnikom varovanega dela. Na drugi strani je vzpostavljena neposredna zveza med opravljanjem storitve in protivrednostjo, ker so nadomestila, ki jih mora končni uporabnik </w:t>
      </w:r>
      <w:r w:rsidRPr="00DC4640">
        <w:rPr>
          <w:rStyle w:val="fontstyle01"/>
          <w:lang w:val="sl-SI"/>
        </w:rPr>
        <w:t>vsakokrat plačati proizvajalcu fonogramov</w:t>
      </w:r>
      <w:r w:rsidRPr="0074178A">
        <w:rPr>
          <w:rFonts w:cs="Arial"/>
          <w:szCs w:val="20"/>
          <w:lang w:val="sl-SI"/>
        </w:rPr>
        <w:t xml:space="preserve">, dejanska plačila za storitev, ki jo je mogoče </w:t>
      </w:r>
      <w:r w:rsidRPr="009F44B7">
        <w:rPr>
          <w:rFonts w:cs="Arial"/>
          <w:szCs w:val="20"/>
          <w:u w:val="single"/>
          <w:lang w:val="sl-SI"/>
        </w:rPr>
        <w:t>individualizirati</w:t>
      </w:r>
      <w:r w:rsidRPr="0074178A">
        <w:rPr>
          <w:rFonts w:cs="Arial"/>
          <w:szCs w:val="20"/>
          <w:lang w:val="sl-SI"/>
        </w:rPr>
        <w:t xml:space="preserve">, in jo opravi imetnik avtorske pravice. </w:t>
      </w:r>
    </w:p>
    <w:p w14:paraId="13C1D397" w14:textId="77777777" w:rsidR="00B67922" w:rsidRDefault="00B67922" w:rsidP="00B67922">
      <w:pPr>
        <w:jc w:val="both"/>
        <w:rPr>
          <w:rFonts w:cs="Arial"/>
          <w:szCs w:val="20"/>
          <w:lang w:val="sl-SI"/>
        </w:rPr>
      </w:pPr>
    </w:p>
    <w:p w14:paraId="0DDEF51E" w14:textId="77777777" w:rsidR="00B67922" w:rsidRDefault="00B67922" w:rsidP="00B67922">
      <w:pPr>
        <w:pStyle w:val="c01pointaltn"/>
        <w:spacing w:before="0" w:beforeAutospacing="0" w:after="0" w:afterAutospacing="0" w:line="260" w:lineRule="atLeast"/>
        <w:jc w:val="both"/>
        <w:rPr>
          <w:rFonts w:ascii="Arial" w:hAnsi="Arial" w:cs="Arial"/>
          <w:sz w:val="20"/>
          <w:szCs w:val="20"/>
          <w:lang w:eastAsia="en-US"/>
        </w:rPr>
      </w:pPr>
      <w:r>
        <w:rPr>
          <w:rFonts w:ascii="Arial" w:hAnsi="Arial"/>
          <w:sz w:val="20"/>
          <w:lang w:eastAsia="en-US"/>
        </w:rPr>
        <w:t xml:space="preserve">Nadalje </w:t>
      </w:r>
      <w:r w:rsidRPr="002C2889">
        <w:rPr>
          <w:rFonts w:ascii="Arial" w:hAnsi="Arial"/>
          <w:sz w:val="20"/>
          <w:lang w:eastAsia="en-US"/>
        </w:rPr>
        <w:t xml:space="preserve">iz </w:t>
      </w:r>
      <w:r>
        <w:rPr>
          <w:rFonts w:ascii="Arial" w:hAnsi="Arial"/>
          <w:sz w:val="20"/>
          <w:lang w:eastAsia="en-US"/>
        </w:rPr>
        <w:t xml:space="preserve">sodbe </w:t>
      </w:r>
      <w:hyperlink r:id="rId17" w:history="1">
        <w:r w:rsidRPr="00CE5BC2">
          <w:rPr>
            <w:rStyle w:val="Hiperpovezava"/>
            <w:rFonts w:ascii="Arial" w:hAnsi="Arial" w:cs="Arial"/>
            <w:sz w:val="20"/>
            <w:szCs w:val="20"/>
            <w:lang w:eastAsia="en-US"/>
          </w:rPr>
          <w:t>C-501/19</w:t>
        </w:r>
      </w:hyperlink>
      <w:r w:rsidRPr="00770700">
        <w:rPr>
          <w:rFonts w:ascii="Arial" w:hAnsi="Arial" w:cs="Arial"/>
          <w:sz w:val="20"/>
          <w:szCs w:val="20"/>
          <w:lang w:eastAsia="en-US"/>
        </w:rPr>
        <w:t xml:space="preserve"> </w:t>
      </w:r>
      <w:r w:rsidRPr="002C2889">
        <w:rPr>
          <w:rFonts w:ascii="Arial" w:hAnsi="Arial"/>
          <w:sz w:val="20"/>
          <w:lang w:eastAsia="en-US"/>
        </w:rPr>
        <w:t>izhaja,</w:t>
      </w:r>
      <w:r w:rsidRPr="00273DB7">
        <w:rPr>
          <w:rFonts w:cs="Arial"/>
          <w:bCs/>
          <w:color w:val="000000"/>
          <w:sz w:val="18"/>
          <w:szCs w:val="18"/>
        </w:rPr>
        <w:t xml:space="preserve"> </w:t>
      </w:r>
      <w:r w:rsidRPr="00B81FD9">
        <w:rPr>
          <w:rFonts w:ascii="Arial" w:hAnsi="Arial" w:cs="Arial"/>
          <w:sz w:val="20"/>
          <w:szCs w:val="20"/>
          <w:lang w:eastAsia="en-US"/>
        </w:rPr>
        <w:t xml:space="preserve">da organizacija za kolektivno upravljanje, ki v svojem imenu, vendar za račun imetnikov avtorskih pravic na glasbenih delih pobira nadomestila, ki so jim dolgovana v zameno za dovoljenje za priobčitev njihovih varovanih del javnosti, deluje kot „davčni zavezanec“ v smislu 28 člena Direktive o DDV </w:t>
      </w:r>
      <w:r>
        <w:rPr>
          <w:rFonts w:ascii="Arial" w:hAnsi="Arial" w:cs="Arial"/>
          <w:sz w:val="20"/>
          <w:szCs w:val="20"/>
          <w:lang w:eastAsia="en-US"/>
        </w:rPr>
        <w:t xml:space="preserve">(16. člen ZDDV-1) </w:t>
      </w:r>
      <w:r w:rsidRPr="00B81FD9">
        <w:rPr>
          <w:rFonts w:ascii="Arial" w:hAnsi="Arial" w:cs="Arial"/>
          <w:sz w:val="20"/>
          <w:szCs w:val="20"/>
          <w:lang w:eastAsia="en-US"/>
        </w:rPr>
        <w:t xml:space="preserve">in se torej šteje, da je te storitve prejela od teh </w:t>
      </w:r>
      <w:r w:rsidRPr="00B81FD9">
        <w:rPr>
          <w:rFonts w:ascii="Arial" w:hAnsi="Arial" w:cs="Arial"/>
          <w:sz w:val="20"/>
          <w:szCs w:val="20"/>
          <w:lang w:eastAsia="en-US"/>
        </w:rPr>
        <w:lastRenderedPageBreak/>
        <w:t>imetnikov, nato pa jih je sama opravila za končnega uporabnika. V takem primeru mora ta organizacija končnemu uporabniku v svojem imenu izdati račune, na katerih so navedeni zneski nadomestil, z vključenim DDV, ki jih je pobrala od njega.</w:t>
      </w:r>
      <w:r w:rsidRPr="00273DB7">
        <w:rPr>
          <w:rFonts w:cs="Arial"/>
          <w:bCs/>
          <w:color w:val="000000"/>
          <w:sz w:val="18"/>
          <w:szCs w:val="18"/>
        </w:rPr>
        <w:t xml:space="preserve"> </w:t>
      </w:r>
      <w:r w:rsidRPr="00B81FD9">
        <w:rPr>
          <w:rFonts w:ascii="Arial" w:hAnsi="Arial" w:cs="Arial"/>
          <w:sz w:val="20"/>
          <w:szCs w:val="20"/>
          <w:lang w:eastAsia="en-US"/>
        </w:rPr>
        <w:t xml:space="preserve">Nadalje </w:t>
      </w:r>
      <w:r>
        <w:rPr>
          <w:rFonts w:ascii="Arial" w:hAnsi="Arial" w:cs="Arial"/>
          <w:sz w:val="20"/>
          <w:szCs w:val="20"/>
          <w:lang w:eastAsia="en-US"/>
        </w:rPr>
        <w:t xml:space="preserve">sodišče </w:t>
      </w:r>
      <w:r w:rsidRPr="00B81FD9">
        <w:rPr>
          <w:rFonts w:ascii="Arial" w:hAnsi="Arial" w:cs="Arial"/>
          <w:sz w:val="20"/>
          <w:szCs w:val="20"/>
          <w:lang w:eastAsia="en-US"/>
        </w:rPr>
        <w:t>EU razloži, da morajo imetniki avtorskih pravic</w:t>
      </w:r>
      <w:r>
        <w:rPr>
          <w:rFonts w:ascii="Arial" w:hAnsi="Arial" w:cs="Arial"/>
          <w:sz w:val="20"/>
          <w:szCs w:val="20"/>
          <w:lang w:eastAsia="en-US"/>
        </w:rPr>
        <w:t>, če so davčni zavezanci,</w:t>
      </w:r>
      <w:r w:rsidRPr="00B81FD9">
        <w:rPr>
          <w:rFonts w:ascii="Arial" w:hAnsi="Arial" w:cs="Arial"/>
          <w:sz w:val="20"/>
          <w:szCs w:val="20"/>
          <w:lang w:eastAsia="en-US"/>
        </w:rPr>
        <w:t xml:space="preserve"> organizaciji za kolektivno upravljanje izdati račune, z vključenim DDV, za storitve, opravljene v okviru prejetih nadomestil</w:t>
      </w:r>
      <w:r>
        <w:rPr>
          <w:rFonts w:ascii="Arial" w:hAnsi="Arial" w:cs="Arial"/>
          <w:sz w:val="20"/>
          <w:szCs w:val="20"/>
          <w:lang w:eastAsia="en-US"/>
        </w:rPr>
        <w:t>.</w:t>
      </w:r>
    </w:p>
    <w:p w14:paraId="3D6E2849" w14:textId="77777777" w:rsidR="00B67922" w:rsidRDefault="00B67922" w:rsidP="00B67922">
      <w:pPr>
        <w:pStyle w:val="c01pointaltn"/>
        <w:spacing w:before="0" w:beforeAutospacing="0" w:after="0" w:afterAutospacing="0" w:line="260" w:lineRule="atLeast"/>
        <w:jc w:val="both"/>
        <w:rPr>
          <w:rFonts w:ascii="Arial" w:hAnsi="Arial" w:cs="Arial"/>
          <w:sz w:val="20"/>
          <w:szCs w:val="20"/>
          <w:lang w:eastAsia="en-US"/>
        </w:rPr>
      </w:pPr>
    </w:p>
    <w:p w14:paraId="460C4EB0" w14:textId="77777777" w:rsidR="00B67922" w:rsidRDefault="00B67922" w:rsidP="00B67922">
      <w:pPr>
        <w:pStyle w:val="c01pointaltn"/>
        <w:spacing w:before="0" w:beforeAutospacing="0" w:after="0" w:afterAutospacing="0" w:line="260" w:lineRule="atLeast"/>
        <w:jc w:val="both"/>
        <w:rPr>
          <w:rFonts w:ascii="Arial" w:hAnsi="Arial" w:cs="Arial"/>
          <w:sz w:val="20"/>
          <w:szCs w:val="20"/>
          <w:u w:val="single"/>
        </w:rPr>
      </w:pPr>
      <w:r w:rsidRPr="00B81FD9">
        <w:rPr>
          <w:rFonts w:ascii="Arial" w:hAnsi="Arial" w:cs="Arial"/>
          <w:sz w:val="20"/>
          <w:szCs w:val="20"/>
          <w:lang w:eastAsia="en-US"/>
        </w:rPr>
        <w:t>V 16. členu</w:t>
      </w:r>
      <w:r>
        <w:rPr>
          <w:rFonts w:ascii="Arial" w:hAnsi="Arial" w:cs="Arial"/>
          <w:sz w:val="20"/>
          <w:szCs w:val="20"/>
          <w:lang w:eastAsia="en-US"/>
        </w:rPr>
        <w:t xml:space="preserve"> ZDDV-1</w:t>
      </w:r>
      <w:r w:rsidRPr="00B81FD9">
        <w:rPr>
          <w:rFonts w:ascii="Arial" w:hAnsi="Arial" w:cs="Arial"/>
          <w:sz w:val="20"/>
          <w:szCs w:val="20"/>
          <w:lang w:eastAsia="en-US"/>
        </w:rPr>
        <w:t xml:space="preserve"> je določeno, da se kadar davčni zavezanec pri opravljanju storitev deluje v svojem imenu in za račun druge osebe, šteje, da prejme in dobavi te storitve sam. Ta določba ustvarja pravno fikcijo, da sta identični storitvi opravljeni zaporedno. V skladu s to fikcijo se za subjekt (</w:t>
      </w:r>
      <w:proofErr w:type="spellStart"/>
      <w:r w:rsidRPr="00B81FD9">
        <w:rPr>
          <w:rFonts w:ascii="Arial" w:hAnsi="Arial" w:cs="Arial"/>
          <w:sz w:val="20"/>
          <w:szCs w:val="20"/>
          <w:lang w:eastAsia="en-US"/>
        </w:rPr>
        <w:t>t.j</w:t>
      </w:r>
      <w:proofErr w:type="spellEnd"/>
      <w:r w:rsidRPr="00B81FD9">
        <w:rPr>
          <w:rFonts w:ascii="Arial" w:hAnsi="Arial" w:cs="Arial"/>
          <w:sz w:val="20"/>
          <w:szCs w:val="20"/>
          <w:lang w:eastAsia="en-US"/>
        </w:rPr>
        <w:t>. organizacij</w:t>
      </w:r>
      <w:r>
        <w:rPr>
          <w:rFonts w:ascii="Arial" w:hAnsi="Arial" w:cs="Arial"/>
          <w:sz w:val="20"/>
          <w:szCs w:val="20"/>
          <w:lang w:eastAsia="en-US"/>
        </w:rPr>
        <w:t>o</w:t>
      </w:r>
      <w:r w:rsidRPr="00B81FD9">
        <w:rPr>
          <w:rFonts w:ascii="Arial" w:hAnsi="Arial" w:cs="Arial"/>
          <w:sz w:val="20"/>
          <w:szCs w:val="20"/>
          <w:lang w:eastAsia="en-US"/>
        </w:rPr>
        <w:t xml:space="preserve"> za kolektivno upravljanje), ki posreduje pri opravljanju storitev pobiranja nadomestil na glasbenih delih</w:t>
      </w:r>
      <w:r>
        <w:rPr>
          <w:rFonts w:ascii="Arial" w:hAnsi="Arial" w:cs="Arial"/>
          <w:sz w:val="20"/>
          <w:szCs w:val="20"/>
          <w:lang w:eastAsia="en-US"/>
        </w:rPr>
        <w:t>,</w:t>
      </w:r>
      <w:r w:rsidRPr="00B81FD9">
        <w:rPr>
          <w:rFonts w:ascii="Arial" w:hAnsi="Arial" w:cs="Arial"/>
          <w:sz w:val="20"/>
          <w:szCs w:val="20"/>
          <w:lang w:eastAsia="en-US"/>
        </w:rPr>
        <w:t xml:space="preserve"> šteje, da je najprej prejel zadevne storitve od subjekta (imetnikov avtorskih pravic), </w:t>
      </w:r>
      <w:r>
        <w:rPr>
          <w:rFonts w:ascii="Arial" w:hAnsi="Arial" w:cs="Arial"/>
          <w:sz w:val="20"/>
          <w:szCs w:val="20"/>
          <w:lang w:eastAsia="en-US"/>
        </w:rPr>
        <w:t>z</w:t>
      </w:r>
      <w:r w:rsidRPr="00B81FD9">
        <w:rPr>
          <w:rFonts w:ascii="Arial" w:hAnsi="Arial" w:cs="Arial"/>
          <w:sz w:val="20"/>
          <w:szCs w:val="20"/>
          <w:lang w:eastAsia="en-US"/>
        </w:rPr>
        <w:t>a račun katerega</w:t>
      </w:r>
      <w:r>
        <w:rPr>
          <w:rFonts w:ascii="Arial" w:hAnsi="Arial" w:cs="Arial"/>
          <w:sz w:val="20"/>
          <w:szCs w:val="20"/>
          <w:lang w:eastAsia="en-US"/>
        </w:rPr>
        <w:t xml:space="preserve"> deluje in ki je komitent</w:t>
      </w:r>
      <w:r w:rsidRPr="00B81FD9">
        <w:rPr>
          <w:rFonts w:ascii="Arial" w:hAnsi="Arial" w:cs="Arial"/>
          <w:sz w:val="20"/>
          <w:szCs w:val="20"/>
          <w:lang w:eastAsia="en-US"/>
        </w:rPr>
        <w:t xml:space="preserve">, nato pa te storitve sam opravil za končnega kupca. </w:t>
      </w:r>
      <w:r>
        <w:rPr>
          <w:rFonts w:ascii="Arial" w:hAnsi="Arial" w:cs="Arial"/>
          <w:sz w:val="20"/>
          <w:szCs w:val="20"/>
          <w:lang w:eastAsia="en-US"/>
        </w:rPr>
        <w:t>Iz navedenega izhaja, da sodišče EU takšno vrsto transakcije razlaga kot komisijski posel. O</w:t>
      </w:r>
      <w:r w:rsidRPr="00B81FD9">
        <w:rPr>
          <w:rFonts w:ascii="Arial" w:hAnsi="Arial" w:cs="Arial"/>
          <w:sz w:val="20"/>
          <w:szCs w:val="20"/>
          <w:lang w:eastAsia="en-US"/>
        </w:rPr>
        <w:t xml:space="preserve">rganizacija </w:t>
      </w:r>
      <w:r>
        <w:rPr>
          <w:rFonts w:ascii="Arial" w:hAnsi="Arial" w:cs="Arial"/>
          <w:sz w:val="20"/>
          <w:szCs w:val="20"/>
          <w:lang w:eastAsia="en-US"/>
        </w:rPr>
        <w:t xml:space="preserve">za kolektivno upravljanje mora </w:t>
      </w:r>
      <w:r w:rsidRPr="00B81FD9">
        <w:rPr>
          <w:rFonts w:ascii="Arial" w:hAnsi="Arial" w:cs="Arial"/>
          <w:sz w:val="20"/>
          <w:szCs w:val="20"/>
          <w:lang w:eastAsia="en-US"/>
        </w:rPr>
        <w:t>končnemu uporabniku v svojem imenu izdati račune, na katerih so navedeni zneski nadomestil, z vključenim DDV, ki jih je pobrala od njega</w:t>
      </w:r>
      <w:r>
        <w:rPr>
          <w:rFonts w:ascii="Arial" w:hAnsi="Arial" w:cs="Arial"/>
          <w:sz w:val="20"/>
          <w:szCs w:val="20"/>
          <w:lang w:eastAsia="en-US"/>
        </w:rPr>
        <w:t>. Če so</w:t>
      </w:r>
      <w:r w:rsidRPr="00B81FD9">
        <w:rPr>
          <w:rFonts w:ascii="Arial" w:hAnsi="Arial" w:cs="Arial"/>
          <w:sz w:val="20"/>
          <w:szCs w:val="20"/>
          <w:lang w:eastAsia="en-US"/>
        </w:rPr>
        <w:t xml:space="preserve"> imetniki avtorskih pravic</w:t>
      </w:r>
      <w:r>
        <w:rPr>
          <w:rFonts w:ascii="Arial" w:hAnsi="Arial" w:cs="Arial"/>
          <w:sz w:val="20"/>
          <w:szCs w:val="20"/>
          <w:lang w:eastAsia="en-US"/>
        </w:rPr>
        <w:t xml:space="preserve"> davčni zavezanci (identificirani za namene DDV ali ne), morajo zagotoviti, da je za storitev, opravljeno v okviru prejetega nadomestila, </w:t>
      </w:r>
      <w:r w:rsidRPr="00B81FD9">
        <w:rPr>
          <w:rFonts w:ascii="Arial" w:hAnsi="Arial" w:cs="Arial"/>
          <w:sz w:val="20"/>
          <w:szCs w:val="20"/>
          <w:lang w:eastAsia="en-US"/>
        </w:rPr>
        <w:t>organizaciji za kolektivno upravljanje</w:t>
      </w:r>
      <w:r>
        <w:rPr>
          <w:rFonts w:ascii="Arial" w:hAnsi="Arial" w:cs="Arial"/>
          <w:sz w:val="20"/>
          <w:szCs w:val="20"/>
          <w:lang w:eastAsia="en-US"/>
        </w:rPr>
        <w:t xml:space="preserve"> izdan račun. Le-ta vključuje DDV v kolikor gre za imetnike avtorskih pravic, ki so identificirani za namene DDV oziroma ne vključuje DDV, če gre za imetnike avtorskih pravic, ki so mali davčni zavezanci in so oproščeni obračunavanja DDV. V kolikor gre za imetnike avtorskih pravic, ki se ne štejejo za davčne zavezance nimajo obveznosti izdaje računa.  V</w:t>
      </w:r>
      <w:r w:rsidRPr="00B81FD9">
        <w:rPr>
          <w:rFonts w:ascii="Arial" w:hAnsi="Arial" w:cs="Arial"/>
          <w:sz w:val="20"/>
          <w:szCs w:val="20"/>
          <w:lang w:eastAsia="en-US"/>
        </w:rPr>
        <w:t>eč informacij v zvezi z izdajanjem računov je objavljenih na spletni strani FURS v podrobnejšem opisu</w:t>
      </w:r>
      <w:r w:rsidRPr="00B0108F">
        <w:rPr>
          <w:rFonts w:cs="Arial"/>
          <w:szCs w:val="20"/>
        </w:rPr>
        <w:t xml:space="preserve"> </w:t>
      </w:r>
      <w:hyperlink r:id="rId18" w:history="1">
        <w:r w:rsidRPr="00B81FD9">
          <w:rPr>
            <w:rStyle w:val="Hiperpovezava"/>
            <w:rFonts w:ascii="Arial" w:hAnsi="Arial" w:cs="Arial"/>
            <w:sz w:val="20"/>
            <w:szCs w:val="20"/>
          </w:rPr>
          <w:t>Računi</w:t>
        </w:r>
      </w:hyperlink>
      <w:r w:rsidRPr="00B81FD9">
        <w:rPr>
          <w:rFonts w:ascii="Arial" w:hAnsi="Arial" w:cs="Arial"/>
          <w:sz w:val="20"/>
          <w:szCs w:val="20"/>
          <w:u w:val="single"/>
        </w:rPr>
        <w:t>.</w:t>
      </w:r>
    </w:p>
    <w:p w14:paraId="61338B6E" w14:textId="77777777" w:rsidR="00B67922" w:rsidRDefault="00B67922" w:rsidP="00B67922">
      <w:pPr>
        <w:pStyle w:val="c01pointaltn"/>
        <w:spacing w:before="0" w:beforeAutospacing="0" w:after="0" w:afterAutospacing="0" w:line="260" w:lineRule="atLeast"/>
        <w:jc w:val="both"/>
        <w:rPr>
          <w:rFonts w:ascii="Arial" w:hAnsi="Arial" w:cs="Arial"/>
          <w:sz w:val="20"/>
          <w:szCs w:val="20"/>
          <w:u w:val="single"/>
        </w:rPr>
      </w:pPr>
    </w:p>
    <w:p w14:paraId="1178DE78" w14:textId="77777777" w:rsidR="00B67922" w:rsidRDefault="00B67922" w:rsidP="00B67922">
      <w:pPr>
        <w:pStyle w:val="c01pointaltn"/>
        <w:spacing w:before="0" w:beforeAutospacing="0" w:after="0" w:afterAutospacing="0" w:line="260" w:lineRule="atLeast"/>
        <w:jc w:val="both"/>
        <w:rPr>
          <w:rFonts w:ascii="Arial" w:hAnsi="Arial" w:cs="Arial"/>
          <w:sz w:val="20"/>
          <w:szCs w:val="20"/>
          <w:lang w:eastAsia="en-US"/>
        </w:rPr>
      </w:pPr>
      <w:r w:rsidRPr="00FF13D1">
        <w:rPr>
          <w:rFonts w:ascii="Arial" w:hAnsi="Arial" w:cs="Arial"/>
          <w:sz w:val="20"/>
          <w:szCs w:val="20"/>
          <w:lang w:eastAsia="en-US"/>
        </w:rPr>
        <w:t>Davčni zavezanec je po 5. členu ZDDV-1 vsaka oseba, ki kjerkoli neodvisno opravlja katerokoli ekonomsko dejavnost, ne glede na namen ali rezultat opravljanja dejavnosti</w:t>
      </w:r>
      <w:r>
        <w:rPr>
          <w:rFonts w:ascii="Arial" w:hAnsi="Arial" w:cs="Arial"/>
          <w:sz w:val="20"/>
          <w:szCs w:val="20"/>
          <w:lang w:eastAsia="en-US"/>
        </w:rPr>
        <w:t xml:space="preserve"> pri čemer</w:t>
      </w:r>
      <w:r w:rsidRPr="00FF13D1">
        <w:rPr>
          <w:rFonts w:ascii="Arial" w:hAnsi="Arial" w:cs="Arial"/>
          <w:sz w:val="20"/>
          <w:szCs w:val="20"/>
          <w:lang w:eastAsia="en-US"/>
        </w:rPr>
        <w:t xml:space="preserve"> </w:t>
      </w:r>
      <w:r>
        <w:rPr>
          <w:rFonts w:ascii="Arial" w:hAnsi="Arial" w:cs="Arial"/>
          <w:sz w:val="20"/>
          <w:szCs w:val="20"/>
          <w:lang w:eastAsia="en-US"/>
        </w:rPr>
        <w:t>e</w:t>
      </w:r>
      <w:r w:rsidRPr="00FF13D1">
        <w:rPr>
          <w:rFonts w:ascii="Arial" w:hAnsi="Arial" w:cs="Arial"/>
          <w:sz w:val="20"/>
          <w:szCs w:val="20"/>
          <w:lang w:eastAsia="en-US"/>
        </w:rPr>
        <w:t xml:space="preserve">konomska dejavnost obsega vsako proizvodno, predelovalno, trgovsko in storitveno dejavnost, vključno z rudarsko, kmetijsko in poklicno dejavnostjo. </w:t>
      </w:r>
    </w:p>
    <w:p w14:paraId="64FB5D76" w14:textId="77777777" w:rsidR="00B67922" w:rsidRDefault="00B67922" w:rsidP="00B67922">
      <w:pPr>
        <w:pStyle w:val="c01pointaltn"/>
        <w:spacing w:before="0" w:beforeAutospacing="0" w:after="0" w:afterAutospacing="0" w:line="260" w:lineRule="atLeast"/>
        <w:jc w:val="both"/>
        <w:rPr>
          <w:rFonts w:ascii="Arial" w:hAnsi="Arial" w:cs="Arial"/>
          <w:sz w:val="20"/>
          <w:szCs w:val="20"/>
          <w:lang w:eastAsia="en-US"/>
        </w:rPr>
      </w:pPr>
    </w:p>
    <w:p w14:paraId="1A3D56BB" w14:textId="77777777" w:rsidR="00B67922" w:rsidRPr="006A6C92" w:rsidRDefault="00B67922" w:rsidP="00B67922">
      <w:pPr>
        <w:pStyle w:val="c01pointaltn"/>
        <w:spacing w:before="0" w:beforeAutospacing="0" w:after="0" w:afterAutospacing="0" w:line="260" w:lineRule="atLeast"/>
        <w:jc w:val="both"/>
        <w:rPr>
          <w:rFonts w:ascii="Arial" w:hAnsi="Arial" w:cs="Arial"/>
          <w:sz w:val="20"/>
          <w:szCs w:val="20"/>
          <w:lang w:eastAsia="en-US"/>
        </w:rPr>
      </w:pPr>
      <w:r w:rsidRPr="006A6C92">
        <w:rPr>
          <w:rFonts w:ascii="Arial" w:hAnsi="Arial" w:cs="Arial"/>
          <w:sz w:val="20"/>
          <w:szCs w:val="20"/>
          <w:lang w:eastAsia="en-US"/>
        </w:rPr>
        <w:t>Glede na zgoraj navedeno mora imetnik avtorskih pravic v vsakem konkretnem primeru ugotoviti ali se šteje za davčnega zavezanca po drugem odstavku 5. člena ZDDV-1, saj ekonomska dejavnost obsega tudi izkoriščanje premoženja in premoženjskih pravic, če je namenjeno trajnemu doseganju dohodka.</w:t>
      </w:r>
    </w:p>
    <w:p w14:paraId="3E34F5C3" w14:textId="77777777" w:rsidR="00B67922" w:rsidRDefault="00B67922" w:rsidP="00B67922">
      <w:pPr>
        <w:jc w:val="both"/>
        <w:rPr>
          <w:rFonts w:cs="Arial"/>
          <w:szCs w:val="20"/>
          <w:lang w:val="sl-SI"/>
        </w:rPr>
      </w:pPr>
    </w:p>
    <w:p w14:paraId="10C50BAA" w14:textId="77777777" w:rsidR="00B67922" w:rsidRPr="00B0108F" w:rsidRDefault="00B67922" w:rsidP="00B67922">
      <w:pPr>
        <w:jc w:val="both"/>
        <w:rPr>
          <w:rFonts w:cs="Arial"/>
          <w:szCs w:val="20"/>
          <w:lang w:val="sl-SI"/>
        </w:rPr>
      </w:pPr>
      <w:r>
        <w:rPr>
          <w:rFonts w:cs="Arial"/>
          <w:szCs w:val="20"/>
          <w:lang w:val="sl-SI"/>
        </w:rPr>
        <w:t>S</w:t>
      </w:r>
      <w:r w:rsidRPr="00B0108F">
        <w:rPr>
          <w:rFonts w:cs="Arial"/>
          <w:szCs w:val="20"/>
          <w:lang w:val="sl-SI"/>
        </w:rPr>
        <w:t xml:space="preserve">kladno s prvim odstavkom 94. člena </w:t>
      </w:r>
      <w:r>
        <w:rPr>
          <w:rStyle w:val="Hiperpovezava"/>
          <w:rFonts w:cs="Arial"/>
          <w:szCs w:val="20"/>
          <w:lang w:val="sl-SI"/>
        </w:rPr>
        <w:t xml:space="preserve"> ZDDV-1 je davčni zavezanec </w:t>
      </w:r>
      <w:r w:rsidRPr="00B0108F">
        <w:rPr>
          <w:rFonts w:cs="Arial"/>
          <w:szCs w:val="20"/>
          <w:lang w:val="sl-SI"/>
        </w:rPr>
        <w:t>oproščen obračunavanja DDV</w:t>
      </w:r>
      <w:r>
        <w:rPr>
          <w:rFonts w:cs="Arial"/>
          <w:szCs w:val="20"/>
          <w:lang w:val="sl-SI"/>
        </w:rPr>
        <w:t>,</w:t>
      </w:r>
      <w:r w:rsidRPr="00B0108F">
        <w:rPr>
          <w:rFonts w:cs="Arial"/>
          <w:szCs w:val="20"/>
          <w:lang w:val="sl-SI"/>
        </w:rPr>
        <w:t xml:space="preserve"> </w:t>
      </w:r>
      <w:r w:rsidRPr="009025D7">
        <w:rPr>
          <w:rFonts w:cs="Arial"/>
          <w:szCs w:val="20"/>
          <w:lang w:val="sl-SI"/>
        </w:rPr>
        <w:t>če v obdobju zadnjih 12 mesecev ni presegel oziroma ni verjetno, da bo presegel znesek 50.000 eurov obdavčljivega prometa.</w:t>
      </w:r>
      <w:r w:rsidRPr="00B0108F">
        <w:rPr>
          <w:rFonts w:cs="Arial"/>
          <w:szCs w:val="20"/>
          <w:lang w:val="sl-SI"/>
        </w:rPr>
        <w:t xml:space="preserve"> Več informacij v zvezi z identifikacijo za namene DDV </w:t>
      </w:r>
      <w:r>
        <w:rPr>
          <w:rFonts w:cs="Arial"/>
          <w:szCs w:val="20"/>
          <w:lang w:val="sl-SI"/>
        </w:rPr>
        <w:t xml:space="preserve">in kaj se všteva v obdavčljivi promet, </w:t>
      </w:r>
      <w:r w:rsidRPr="00B0108F">
        <w:rPr>
          <w:rFonts w:cs="Arial"/>
          <w:szCs w:val="20"/>
          <w:lang w:val="sl-SI"/>
        </w:rPr>
        <w:t>je objavljenih na spletni strani FURS v podrobnejšem opisu</w:t>
      </w:r>
      <w:hyperlink r:id="rId19" w:history="1">
        <w:r w:rsidRPr="00B0108F">
          <w:rPr>
            <w:rStyle w:val="Hiperpovezava"/>
            <w:rFonts w:cs="Arial"/>
            <w:szCs w:val="20"/>
            <w:lang w:val="sl-SI"/>
          </w:rPr>
          <w:t xml:space="preserve"> Davčni zavezanci in identifikacija za DDV.</w:t>
        </w:r>
      </w:hyperlink>
    </w:p>
    <w:p w14:paraId="725D39B8" w14:textId="77777777" w:rsidR="00B67922" w:rsidRPr="00B81FD9" w:rsidRDefault="00B67922" w:rsidP="00B67922">
      <w:pPr>
        <w:pStyle w:val="c01pointaltn"/>
        <w:spacing w:before="0" w:beforeAutospacing="0" w:after="0" w:afterAutospacing="0" w:line="260" w:lineRule="atLeast"/>
        <w:jc w:val="both"/>
        <w:rPr>
          <w:rFonts w:ascii="Arial" w:hAnsi="Arial" w:cs="Arial"/>
          <w:sz w:val="20"/>
          <w:szCs w:val="20"/>
          <w:lang w:eastAsia="en-US"/>
        </w:rPr>
      </w:pPr>
    </w:p>
    <w:p w14:paraId="7D7C3430" w14:textId="77777777" w:rsidR="00B67922" w:rsidRDefault="00B67922" w:rsidP="00B67922">
      <w:pPr>
        <w:jc w:val="both"/>
        <w:rPr>
          <w:lang w:val="sl-SI"/>
        </w:rPr>
      </w:pPr>
      <w:r w:rsidRPr="00A862DA">
        <w:rPr>
          <w:rFonts w:cs="Arial"/>
          <w:color w:val="000000"/>
          <w:szCs w:val="20"/>
          <w:lang w:val="sl-SI" w:eastAsia="sl-SI"/>
        </w:rPr>
        <w:t xml:space="preserve">Skladno z navedenim so </w:t>
      </w:r>
      <w:r w:rsidRPr="00A862DA">
        <w:rPr>
          <w:lang w:val="sl-SI"/>
        </w:rPr>
        <w:t>nadomestila</w:t>
      </w:r>
      <w:r w:rsidRPr="00B81FD9">
        <w:rPr>
          <w:lang w:val="sl-SI"/>
        </w:rPr>
        <w:t xml:space="preserve"> za uveljavljanje pravic pri javni priobčitvi fonograma, ki se izplača</w:t>
      </w:r>
      <w:r>
        <w:rPr>
          <w:lang w:val="sl-SI"/>
        </w:rPr>
        <w:t>jo</w:t>
      </w:r>
      <w:r w:rsidRPr="00B81FD9">
        <w:rPr>
          <w:lang w:val="sl-SI"/>
        </w:rPr>
        <w:t xml:space="preserve"> pooblaščeni kolektivni organizaciji (</w:t>
      </w:r>
      <w:r>
        <w:rPr>
          <w:lang w:val="sl-SI"/>
        </w:rPr>
        <w:t>IPF</w:t>
      </w:r>
      <w:r w:rsidRPr="00B81FD9">
        <w:rPr>
          <w:lang w:val="sl-SI"/>
        </w:rPr>
        <w:t>) po zakonu, ki ureja kolektivno upravljanje avtorske in sorodnih pravic, predmet obdavčitve z DDV.</w:t>
      </w:r>
      <w:r>
        <w:rPr>
          <w:lang w:val="sl-SI"/>
        </w:rPr>
        <w:t xml:space="preserve"> Prav tako je predmet DDV nadomestilo, ki ga imetniku avtorskih pravic, ki se z vidika DDV šteje za davčnega zavezanca, izplača pooblaščena kolektivna organizacija.</w:t>
      </w:r>
    </w:p>
    <w:p w14:paraId="20EB0874" w14:textId="77777777" w:rsidR="00B67922" w:rsidRDefault="00B67922" w:rsidP="00B67922">
      <w:pPr>
        <w:jc w:val="both"/>
        <w:rPr>
          <w:lang w:val="sl-SI"/>
        </w:rPr>
      </w:pPr>
    </w:p>
    <w:p w14:paraId="73B01D15" w14:textId="77777777" w:rsidR="00B67922" w:rsidRDefault="00B67922" w:rsidP="00B67922">
      <w:pPr>
        <w:jc w:val="both"/>
        <w:rPr>
          <w:lang w:val="sl-SI"/>
        </w:rPr>
      </w:pPr>
      <w:r w:rsidRPr="00897C92">
        <w:rPr>
          <w:rFonts w:ascii="ArialMT" w:hAnsi="ArialMT"/>
          <w:color w:val="000000"/>
          <w:szCs w:val="20"/>
          <w:lang w:val="sl-SI"/>
        </w:rPr>
        <w:t xml:space="preserve">Prvi odstavek 41. </w:t>
      </w:r>
      <w:r w:rsidRPr="00897C92">
        <w:rPr>
          <w:rFonts w:ascii="ArialMT" w:hAnsi="ArialMT" w:hint="eastAsia"/>
          <w:color w:val="000000"/>
          <w:szCs w:val="20"/>
          <w:lang w:val="sl-SI"/>
        </w:rPr>
        <w:t>č</w:t>
      </w:r>
      <w:r w:rsidRPr="00897C92">
        <w:rPr>
          <w:rFonts w:ascii="ArialMT" w:hAnsi="ArialMT"/>
          <w:color w:val="000000"/>
          <w:szCs w:val="20"/>
          <w:lang w:val="sl-SI"/>
        </w:rPr>
        <w:t>lena ZDDV-1 dolo</w:t>
      </w:r>
      <w:r w:rsidRPr="00897C92">
        <w:rPr>
          <w:rFonts w:ascii="ArialMT" w:hAnsi="ArialMT" w:hint="eastAsia"/>
          <w:color w:val="000000"/>
          <w:szCs w:val="20"/>
          <w:lang w:val="sl-SI"/>
        </w:rPr>
        <w:t>č</w:t>
      </w:r>
      <w:r w:rsidRPr="00897C92">
        <w:rPr>
          <w:rFonts w:ascii="ArialMT" w:hAnsi="ArialMT"/>
          <w:color w:val="000000"/>
          <w:szCs w:val="20"/>
          <w:lang w:val="sl-SI"/>
        </w:rPr>
        <w:t>a, da se DDV obra</w:t>
      </w:r>
      <w:r w:rsidRPr="00897C92">
        <w:rPr>
          <w:rFonts w:ascii="ArialMT" w:hAnsi="ArialMT" w:hint="eastAsia"/>
          <w:color w:val="000000"/>
          <w:szCs w:val="20"/>
          <w:lang w:val="sl-SI"/>
        </w:rPr>
        <w:t>č</w:t>
      </w:r>
      <w:r w:rsidRPr="00897C92">
        <w:rPr>
          <w:rFonts w:ascii="ArialMT" w:hAnsi="ArialMT"/>
          <w:color w:val="000000"/>
          <w:szCs w:val="20"/>
          <w:lang w:val="sl-SI"/>
        </w:rPr>
        <w:t>unava in pla</w:t>
      </w:r>
      <w:r w:rsidRPr="00897C92">
        <w:rPr>
          <w:rFonts w:ascii="ArialMT" w:hAnsi="ArialMT" w:hint="eastAsia"/>
          <w:color w:val="000000"/>
          <w:szCs w:val="20"/>
          <w:lang w:val="sl-SI"/>
        </w:rPr>
        <w:t>č</w:t>
      </w:r>
      <w:r w:rsidRPr="00897C92">
        <w:rPr>
          <w:rFonts w:ascii="ArialMT" w:hAnsi="ArialMT"/>
          <w:color w:val="000000"/>
          <w:szCs w:val="20"/>
          <w:lang w:val="sl-SI"/>
        </w:rPr>
        <w:t>uje po splo</w:t>
      </w:r>
      <w:r w:rsidRPr="00897C92">
        <w:rPr>
          <w:rFonts w:ascii="ArialMT" w:hAnsi="ArialMT" w:hint="eastAsia"/>
          <w:color w:val="000000"/>
          <w:szCs w:val="20"/>
          <w:lang w:val="sl-SI"/>
        </w:rPr>
        <w:t>š</w:t>
      </w:r>
      <w:r w:rsidRPr="00897C92">
        <w:rPr>
          <w:rFonts w:ascii="ArialMT" w:hAnsi="ArialMT"/>
          <w:color w:val="000000"/>
          <w:szCs w:val="20"/>
          <w:lang w:val="sl-SI"/>
        </w:rPr>
        <w:t>ni, 22-odstotni</w:t>
      </w:r>
      <w:r w:rsidRPr="00897C92">
        <w:rPr>
          <w:rFonts w:ascii="ArialMT" w:hAnsi="ArialMT"/>
          <w:color w:val="000000"/>
          <w:szCs w:val="20"/>
          <w:lang w:val="sl-SI"/>
        </w:rPr>
        <w:br/>
        <w:t>stopnji od dav</w:t>
      </w:r>
      <w:r w:rsidRPr="00897C92">
        <w:rPr>
          <w:rFonts w:ascii="ArialMT" w:hAnsi="ArialMT" w:hint="eastAsia"/>
          <w:color w:val="000000"/>
          <w:szCs w:val="20"/>
          <w:lang w:val="sl-SI"/>
        </w:rPr>
        <w:t>č</w:t>
      </w:r>
      <w:r w:rsidRPr="00897C92">
        <w:rPr>
          <w:rFonts w:ascii="ArialMT" w:hAnsi="ArialMT"/>
          <w:color w:val="000000"/>
          <w:szCs w:val="20"/>
          <w:lang w:val="sl-SI"/>
        </w:rPr>
        <w:t>ne osnove in je enaka za dobavo blaga in storitev. Nadalje je v drugem odstavku istega</w:t>
      </w:r>
      <w:r>
        <w:rPr>
          <w:rFonts w:ascii="ArialMT" w:hAnsi="ArialMT"/>
          <w:color w:val="000000"/>
          <w:szCs w:val="20"/>
          <w:lang w:val="sl-SI"/>
        </w:rPr>
        <w:t xml:space="preserve"> </w:t>
      </w:r>
      <w:r w:rsidRPr="00897C92">
        <w:rPr>
          <w:rFonts w:ascii="ArialMT" w:hAnsi="ArialMT" w:hint="eastAsia"/>
          <w:color w:val="000000"/>
          <w:szCs w:val="20"/>
          <w:lang w:val="sl-SI"/>
        </w:rPr>
        <w:t>č</w:t>
      </w:r>
      <w:r w:rsidRPr="00897C92">
        <w:rPr>
          <w:rFonts w:ascii="ArialMT" w:hAnsi="ArialMT"/>
          <w:color w:val="000000"/>
          <w:szCs w:val="20"/>
          <w:lang w:val="sl-SI"/>
        </w:rPr>
        <w:t xml:space="preserve">lena tega zakona navedeno, da se ne glede na prvi odstavek tega </w:t>
      </w:r>
      <w:r w:rsidRPr="00897C92">
        <w:rPr>
          <w:rFonts w:ascii="ArialMT" w:hAnsi="ArialMT" w:hint="eastAsia"/>
          <w:color w:val="000000"/>
          <w:szCs w:val="20"/>
          <w:lang w:val="sl-SI"/>
        </w:rPr>
        <w:t>č</w:t>
      </w:r>
      <w:r w:rsidRPr="00897C92">
        <w:rPr>
          <w:rFonts w:ascii="ArialMT" w:hAnsi="ArialMT"/>
          <w:color w:val="000000"/>
          <w:szCs w:val="20"/>
          <w:lang w:val="sl-SI"/>
        </w:rPr>
        <w:t>lena DDV obra</w:t>
      </w:r>
      <w:r w:rsidRPr="00897C92">
        <w:rPr>
          <w:rFonts w:ascii="ArialMT" w:hAnsi="ArialMT" w:hint="eastAsia"/>
          <w:color w:val="000000"/>
          <w:szCs w:val="20"/>
          <w:lang w:val="sl-SI"/>
        </w:rPr>
        <w:t>č</w:t>
      </w:r>
      <w:r w:rsidRPr="00897C92">
        <w:rPr>
          <w:rFonts w:ascii="ArialMT" w:hAnsi="ArialMT"/>
          <w:color w:val="000000"/>
          <w:szCs w:val="20"/>
          <w:lang w:val="sl-SI"/>
        </w:rPr>
        <w:t>unava in pla</w:t>
      </w:r>
      <w:r w:rsidRPr="00897C92">
        <w:rPr>
          <w:rFonts w:ascii="ArialMT" w:hAnsi="ArialMT" w:hint="eastAsia"/>
          <w:color w:val="000000"/>
          <w:szCs w:val="20"/>
          <w:lang w:val="sl-SI"/>
        </w:rPr>
        <w:t>č</w:t>
      </w:r>
      <w:r w:rsidRPr="00897C92">
        <w:rPr>
          <w:rFonts w:ascii="ArialMT" w:hAnsi="ArialMT"/>
          <w:color w:val="000000"/>
          <w:szCs w:val="20"/>
          <w:lang w:val="sl-SI"/>
        </w:rPr>
        <w:t>uje</w:t>
      </w:r>
      <w:r>
        <w:rPr>
          <w:rFonts w:ascii="ArialMT" w:hAnsi="ArialMT"/>
          <w:color w:val="000000"/>
          <w:szCs w:val="20"/>
          <w:lang w:val="sl-SI"/>
        </w:rPr>
        <w:t xml:space="preserve"> </w:t>
      </w:r>
      <w:r w:rsidRPr="00897C92">
        <w:rPr>
          <w:rFonts w:ascii="ArialMT" w:hAnsi="ArialMT"/>
          <w:color w:val="000000"/>
          <w:szCs w:val="20"/>
          <w:lang w:val="sl-SI"/>
        </w:rPr>
        <w:t>po ni</w:t>
      </w:r>
      <w:r w:rsidRPr="00897C92">
        <w:rPr>
          <w:rFonts w:ascii="ArialMT" w:hAnsi="ArialMT" w:hint="eastAsia"/>
          <w:color w:val="000000"/>
          <w:szCs w:val="20"/>
          <w:lang w:val="sl-SI"/>
        </w:rPr>
        <w:t>ž</w:t>
      </w:r>
      <w:r w:rsidRPr="00897C92">
        <w:rPr>
          <w:rFonts w:ascii="ArialMT" w:hAnsi="ArialMT"/>
          <w:color w:val="000000"/>
          <w:szCs w:val="20"/>
          <w:lang w:val="sl-SI"/>
        </w:rPr>
        <w:t>ji, 9,5-odstotni stopnji od dav</w:t>
      </w:r>
      <w:r w:rsidRPr="00897C92">
        <w:rPr>
          <w:rFonts w:ascii="ArialMT" w:hAnsi="ArialMT" w:hint="eastAsia"/>
          <w:color w:val="000000"/>
          <w:szCs w:val="20"/>
          <w:lang w:val="sl-SI"/>
        </w:rPr>
        <w:t>č</w:t>
      </w:r>
      <w:r w:rsidRPr="00897C92">
        <w:rPr>
          <w:rFonts w:ascii="ArialMT" w:hAnsi="ArialMT"/>
          <w:color w:val="000000"/>
          <w:szCs w:val="20"/>
          <w:lang w:val="sl-SI"/>
        </w:rPr>
        <w:t>ne osnove za dobave blaga in storitev iz Priloge I, in po posebni</w:t>
      </w:r>
      <w:r>
        <w:rPr>
          <w:rFonts w:ascii="ArialMT" w:hAnsi="ArialMT"/>
          <w:color w:val="000000"/>
          <w:szCs w:val="20"/>
          <w:lang w:val="sl-SI"/>
        </w:rPr>
        <w:t xml:space="preserve"> </w:t>
      </w:r>
      <w:r w:rsidRPr="00897C92">
        <w:rPr>
          <w:rFonts w:ascii="ArialMT" w:hAnsi="ArialMT"/>
          <w:color w:val="000000"/>
          <w:szCs w:val="20"/>
          <w:lang w:val="sl-SI"/>
        </w:rPr>
        <w:t>ni</w:t>
      </w:r>
      <w:r w:rsidRPr="00897C92">
        <w:rPr>
          <w:rFonts w:ascii="ArialMT" w:hAnsi="ArialMT" w:hint="eastAsia"/>
          <w:color w:val="000000"/>
          <w:szCs w:val="20"/>
          <w:lang w:val="sl-SI"/>
        </w:rPr>
        <w:t>ž</w:t>
      </w:r>
      <w:r w:rsidRPr="00897C92">
        <w:rPr>
          <w:rFonts w:ascii="ArialMT" w:hAnsi="ArialMT"/>
          <w:color w:val="000000"/>
          <w:szCs w:val="20"/>
          <w:lang w:val="sl-SI"/>
        </w:rPr>
        <w:t>ji, 5-odstotni stopnji od dav</w:t>
      </w:r>
      <w:r w:rsidRPr="00897C92">
        <w:rPr>
          <w:rFonts w:ascii="ArialMT" w:hAnsi="ArialMT" w:hint="eastAsia"/>
          <w:color w:val="000000"/>
          <w:szCs w:val="20"/>
          <w:lang w:val="sl-SI"/>
        </w:rPr>
        <w:t>č</w:t>
      </w:r>
      <w:r w:rsidRPr="00897C92">
        <w:rPr>
          <w:rFonts w:ascii="ArialMT" w:hAnsi="ArialMT"/>
          <w:color w:val="000000"/>
          <w:szCs w:val="20"/>
          <w:lang w:val="sl-SI"/>
        </w:rPr>
        <w:t>ne osnove za dobave blaga in storitev iz Priloge IV, ki sta obe prilogi</w:t>
      </w:r>
      <w:r>
        <w:rPr>
          <w:rFonts w:ascii="ArialMT" w:hAnsi="ArialMT"/>
          <w:color w:val="000000"/>
          <w:szCs w:val="20"/>
          <w:lang w:val="sl-SI"/>
        </w:rPr>
        <w:t xml:space="preserve"> </w:t>
      </w:r>
      <w:r w:rsidRPr="00897C92">
        <w:rPr>
          <w:rFonts w:ascii="ArialMT" w:hAnsi="ArialMT"/>
          <w:color w:val="000000"/>
          <w:szCs w:val="20"/>
          <w:lang w:val="sl-SI"/>
        </w:rPr>
        <w:t>tega zakona in njegov sestavni del.</w:t>
      </w:r>
    </w:p>
    <w:p w14:paraId="4658B1C1" w14:textId="77777777" w:rsidR="00B67922" w:rsidRDefault="00B67922" w:rsidP="00B67922">
      <w:pPr>
        <w:jc w:val="both"/>
        <w:rPr>
          <w:rFonts w:ascii="ArialMT" w:hAnsi="ArialMT"/>
          <w:color w:val="000000"/>
          <w:szCs w:val="20"/>
          <w:lang w:val="sl-SI"/>
        </w:rPr>
      </w:pPr>
      <w:r w:rsidRPr="00897C92">
        <w:rPr>
          <w:rFonts w:ascii="ArialMT" w:hAnsi="ArialMT"/>
          <w:color w:val="000000"/>
          <w:sz w:val="16"/>
          <w:szCs w:val="16"/>
          <w:lang w:val="sl-SI"/>
        </w:rPr>
        <w:lastRenderedPageBreak/>
        <w:br/>
      </w:r>
      <w:r w:rsidRPr="00897C92">
        <w:rPr>
          <w:rFonts w:ascii="ArialMT" w:hAnsi="ArialMT"/>
          <w:color w:val="000000"/>
          <w:szCs w:val="20"/>
          <w:lang w:val="sl-SI"/>
        </w:rPr>
        <w:t>V skladu z 8. to</w:t>
      </w:r>
      <w:r w:rsidRPr="00897C92">
        <w:rPr>
          <w:rFonts w:ascii="ArialMT" w:hAnsi="ArialMT" w:hint="eastAsia"/>
          <w:color w:val="000000"/>
          <w:szCs w:val="20"/>
          <w:lang w:val="sl-SI"/>
        </w:rPr>
        <w:t>č</w:t>
      </w:r>
      <w:r w:rsidRPr="00897C92">
        <w:rPr>
          <w:rFonts w:ascii="ArialMT" w:hAnsi="ArialMT"/>
          <w:color w:val="000000"/>
          <w:szCs w:val="20"/>
          <w:lang w:val="sl-SI"/>
        </w:rPr>
        <w:t>ko Priloge I k ZDDV-1 se ni</w:t>
      </w:r>
      <w:r w:rsidRPr="00897C92">
        <w:rPr>
          <w:rFonts w:ascii="ArialMT" w:hAnsi="ArialMT" w:hint="eastAsia"/>
          <w:color w:val="000000"/>
          <w:szCs w:val="20"/>
          <w:lang w:val="sl-SI"/>
        </w:rPr>
        <w:t>ž</w:t>
      </w:r>
      <w:r w:rsidRPr="00897C92">
        <w:rPr>
          <w:rFonts w:ascii="ArialMT" w:hAnsi="ArialMT"/>
          <w:color w:val="000000"/>
          <w:szCs w:val="20"/>
          <w:lang w:val="sl-SI"/>
        </w:rPr>
        <w:t>ja stopnja DDV uporablja za avtorske pravice knji</w:t>
      </w:r>
      <w:r w:rsidRPr="00897C92">
        <w:rPr>
          <w:rFonts w:ascii="ArialMT" w:hAnsi="ArialMT" w:hint="eastAsia"/>
          <w:color w:val="000000"/>
          <w:szCs w:val="20"/>
          <w:lang w:val="sl-SI"/>
        </w:rPr>
        <w:t>ž</w:t>
      </w:r>
      <w:r w:rsidRPr="00897C92">
        <w:rPr>
          <w:rFonts w:ascii="ArialMT" w:hAnsi="ArialMT"/>
          <w:color w:val="000000"/>
          <w:szCs w:val="20"/>
          <w:lang w:val="sl-SI"/>
        </w:rPr>
        <w:t>evnikov</w:t>
      </w:r>
      <w:r>
        <w:rPr>
          <w:rFonts w:ascii="ArialMT" w:hAnsi="ArialMT"/>
          <w:color w:val="000000"/>
          <w:szCs w:val="20"/>
          <w:lang w:val="sl-SI"/>
        </w:rPr>
        <w:t xml:space="preserve"> </w:t>
      </w:r>
      <w:r w:rsidRPr="00897C92">
        <w:rPr>
          <w:rFonts w:ascii="ArialMT" w:hAnsi="ArialMT"/>
          <w:color w:val="000000"/>
          <w:szCs w:val="20"/>
          <w:lang w:val="sl-SI"/>
        </w:rPr>
        <w:t>in skladateljev ter storitve izvajalskih umetnikov</w:t>
      </w:r>
      <w:r>
        <w:rPr>
          <w:rFonts w:ascii="ArialMT" w:hAnsi="ArialMT"/>
          <w:color w:val="000000"/>
          <w:szCs w:val="20"/>
          <w:lang w:val="sl-SI"/>
        </w:rPr>
        <w:t>.</w:t>
      </w:r>
    </w:p>
    <w:p w14:paraId="53A80E28" w14:textId="77777777" w:rsidR="00B67922" w:rsidRDefault="00B67922" w:rsidP="00B67922">
      <w:pPr>
        <w:jc w:val="both"/>
        <w:rPr>
          <w:rFonts w:ascii="ArialMT" w:hAnsi="ArialMT"/>
          <w:color w:val="000000"/>
          <w:szCs w:val="20"/>
          <w:lang w:val="sl-SI"/>
        </w:rPr>
      </w:pPr>
    </w:p>
    <w:p w14:paraId="7133F496" w14:textId="77777777" w:rsidR="00B67922" w:rsidRDefault="00B67922" w:rsidP="00B67922">
      <w:pPr>
        <w:jc w:val="both"/>
        <w:rPr>
          <w:rFonts w:ascii="ArialMT" w:hAnsi="ArialMT"/>
          <w:color w:val="000000"/>
          <w:szCs w:val="20"/>
          <w:lang w:val="sl-SI"/>
        </w:rPr>
      </w:pPr>
      <w:r w:rsidRPr="00897C92">
        <w:rPr>
          <w:rFonts w:ascii="ArialMT" w:hAnsi="ArialMT"/>
          <w:color w:val="000000"/>
          <w:szCs w:val="20"/>
          <w:lang w:val="sl-SI"/>
        </w:rPr>
        <w:t>Storitve izvajalskih umetnikov so podrobneje dolo</w:t>
      </w:r>
      <w:r w:rsidRPr="00897C92">
        <w:rPr>
          <w:rFonts w:ascii="ArialMT" w:hAnsi="ArialMT" w:hint="eastAsia"/>
          <w:color w:val="000000"/>
          <w:szCs w:val="20"/>
          <w:lang w:val="sl-SI"/>
        </w:rPr>
        <w:t>č</w:t>
      </w:r>
      <w:r w:rsidRPr="00897C92">
        <w:rPr>
          <w:rFonts w:ascii="ArialMT" w:hAnsi="ArialMT"/>
          <w:color w:val="000000"/>
          <w:szCs w:val="20"/>
          <w:lang w:val="sl-SI"/>
        </w:rPr>
        <w:t xml:space="preserve">ene v 53. </w:t>
      </w:r>
      <w:r w:rsidRPr="00897C92">
        <w:rPr>
          <w:rFonts w:ascii="ArialMT" w:hAnsi="ArialMT" w:hint="eastAsia"/>
          <w:color w:val="000000"/>
          <w:szCs w:val="20"/>
          <w:lang w:val="sl-SI"/>
        </w:rPr>
        <w:t>č</w:t>
      </w:r>
      <w:r w:rsidRPr="00897C92">
        <w:rPr>
          <w:rFonts w:ascii="ArialMT" w:hAnsi="ArialMT"/>
          <w:color w:val="000000"/>
          <w:szCs w:val="20"/>
          <w:lang w:val="sl-SI"/>
        </w:rPr>
        <w:t xml:space="preserve">lenu </w:t>
      </w:r>
      <w:hyperlink r:id="rId20" w:history="1">
        <w:r w:rsidRPr="00897C92">
          <w:rPr>
            <w:rStyle w:val="Hiperpovezava"/>
            <w:rFonts w:ascii="ArialMT" w:hAnsi="ArialMT"/>
            <w:szCs w:val="20"/>
            <w:lang w:val="sl-SI"/>
          </w:rPr>
          <w:t xml:space="preserve">Pravilnika o izvajanju Zakona o davku na dodano vrednost </w:t>
        </w:r>
        <w:r w:rsidRPr="00897C92">
          <w:rPr>
            <w:rStyle w:val="Hiperpovezava"/>
            <w:rFonts w:ascii="ArialMT" w:hAnsi="ArialMT" w:hint="eastAsia"/>
            <w:szCs w:val="20"/>
            <w:lang w:val="sl-SI"/>
          </w:rPr>
          <w:t>–</w:t>
        </w:r>
        <w:r w:rsidRPr="00897C92">
          <w:rPr>
            <w:rStyle w:val="Hiperpovezava"/>
            <w:rFonts w:ascii="ArialMT" w:hAnsi="ArialMT"/>
            <w:szCs w:val="20"/>
            <w:lang w:val="sl-SI"/>
          </w:rPr>
          <w:t xml:space="preserve"> Pravilnik.</w:t>
        </w:r>
      </w:hyperlink>
      <w:r w:rsidRPr="00897C92">
        <w:rPr>
          <w:rFonts w:ascii="ArialMT" w:hAnsi="ArialMT"/>
          <w:color w:val="000000"/>
          <w:szCs w:val="20"/>
          <w:lang w:val="sl-SI"/>
        </w:rPr>
        <w:t xml:space="preserve"> Storitve izvajalskih umetnikov iz 8. to</w:t>
      </w:r>
      <w:r w:rsidRPr="00897C92">
        <w:rPr>
          <w:rFonts w:ascii="ArialMT" w:hAnsi="ArialMT" w:hint="eastAsia"/>
          <w:color w:val="000000"/>
          <w:szCs w:val="20"/>
          <w:lang w:val="sl-SI"/>
        </w:rPr>
        <w:t>č</w:t>
      </w:r>
      <w:r w:rsidRPr="00897C92">
        <w:rPr>
          <w:rFonts w:ascii="ArialMT" w:hAnsi="ArialMT"/>
          <w:color w:val="000000"/>
          <w:szCs w:val="20"/>
          <w:lang w:val="sl-SI"/>
        </w:rPr>
        <w:t>ke Priloge I k ZDDV-1</w:t>
      </w:r>
      <w:r>
        <w:rPr>
          <w:rFonts w:ascii="ArialMT" w:hAnsi="ArialMT"/>
          <w:color w:val="000000"/>
          <w:szCs w:val="20"/>
          <w:lang w:val="sl-SI"/>
        </w:rPr>
        <w:t xml:space="preserve"> </w:t>
      </w:r>
      <w:r w:rsidRPr="00897C92">
        <w:rPr>
          <w:rFonts w:ascii="ArialMT" w:hAnsi="ArialMT"/>
          <w:color w:val="000000"/>
          <w:szCs w:val="20"/>
          <w:lang w:val="sl-SI"/>
        </w:rPr>
        <w:t>so: igranje, petje, plesanje, recitiranje ali druga</w:t>
      </w:r>
      <w:r w:rsidRPr="00897C92">
        <w:rPr>
          <w:rFonts w:ascii="ArialMT" w:hAnsi="ArialMT" w:hint="eastAsia"/>
          <w:color w:val="000000"/>
          <w:szCs w:val="20"/>
          <w:lang w:val="sl-SI"/>
        </w:rPr>
        <w:t>č</w:t>
      </w:r>
      <w:r w:rsidRPr="00897C92">
        <w:rPr>
          <w:rFonts w:ascii="ArialMT" w:hAnsi="ArialMT"/>
          <w:color w:val="000000"/>
          <w:szCs w:val="20"/>
          <w:lang w:val="sl-SI"/>
        </w:rPr>
        <w:t>no umetni</w:t>
      </w:r>
      <w:r w:rsidRPr="00897C92">
        <w:rPr>
          <w:rFonts w:ascii="ArialMT" w:hAnsi="ArialMT" w:hint="eastAsia"/>
          <w:color w:val="000000"/>
          <w:szCs w:val="20"/>
          <w:lang w:val="sl-SI"/>
        </w:rPr>
        <w:t>š</w:t>
      </w:r>
      <w:r w:rsidRPr="00897C92">
        <w:rPr>
          <w:rFonts w:ascii="ArialMT" w:hAnsi="ArialMT"/>
          <w:color w:val="000000"/>
          <w:szCs w:val="20"/>
          <w:lang w:val="sl-SI"/>
        </w:rPr>
        <w:t>ko izvajanje avtorskih ali folklornih del</w:t>
      </w:r>
      <w:r>
        <w:rPr>
          <w:rFonts w:ascii="ArialMT" w:hAnsi="ArialMT"/>
          <w:color w:val="000000"/>
          <w:szCs w:val="20"/>
          <w:lang w:val="sl-SI"/>
        </w:rPr>
        <w:t xml:space="preserve"> </w:t>
      </w:r>
      <w:r w:rsidRPr="00897C92">
        <w:rPr>
          <w:rFonts w:ascii="ArialMT" w:hAnsi="ArialMT"/>
          <w:color w:val="000000"/>
          <w:szCs w:val="20"/>
          <w:lang w:val="sl-SI"/>
        </w:rPr>
        <w:t xml:space="preserve">igralcev, pevcev, glasbenikov, plesalcev </w:t>
      </w:r>
      <w:r w:rsidRPr="00077CF9">
        <w:rPr>
          <w:rFonts w:ascii="ArialMT" w:hAnsi="ArialMT"/>
          <w:color w:val="000000"/>
          <w:szCs w:val="20"/>
          <w:lang w:val="sl-SI"/>
        </w:rPr>
        <w:t xml:space="preserve">in podobnih oseb. Za izvajalske umetnike </w:t>
      </w:r>
      <w:r w:rsidRPr="00897C92">
        <w:rPr>
          <w:rFonts w:ascii="ArialMT" w:hAnsi="ArialMT"/>
          <w:color w:val="000000"/>
          <w:szCs w:val="20"/>
          <w:lang w:val="sl-SI"/>
        </w:rPr>
        <w:t xml:space="preserve">se </w:t>
      </w:r>
      <w:r w:rsidRPr="00897C92">
        <w:rPr>
          <w:rFonts w:ascii="ArialMT" w:hAnsi="ArialMT" w:hint="eastAsia"/>
          <w:color w:val="000000"/>
          <w:szCs w:val="20"/>
          <w:lang w:val="sl-SI"/>
        </w:rPr>
        <w:t>š</w:t>
      </w:r>
      <w:r w:rsidRPr="00897C92">
        <w:rPr>
          <w:rFonts w:ascii="ArialMT" w:hAnsi="ArialMT"/>
          <w:color w:val="000000"/>
          <w:szCs w:val="20"/>
          <w:lang w:val="sl-SI"/>
        </w:rPr>
        <w:t>tejejo tudi</w:t>
      </w:r>
      <w:r>
        <w:rPr>
          <w:rFonts w:ascii="ArialMT" w:hAnsi="ArialMT"/>
          <w:color w:val="000000"/>
          <w:szCs w:val="20"/>
          <w:lang w:val="sl-SI"/>
        </w:rPr>
        <w:t xml:space="preserve"> </w:t>
      </w:r>
      <w:r w:rsidRPr="00897C92">
        <w:rPr>
          <w:rFonts w:ascii="ArialMT" w:hAnsi="ArialMT"/>
          <w:color w:val="000000"/>
          <w:szCs w:val="20"/>
          <w:lang w:val="sl-SI"/>
        </w:rPr>
        <w:t>re</w:t>
      </w:r>
      <w:r w:rsidRPr="00897C92">
        <w:rPr>
          <w:rFonts w:ascii="ArialMT" w:hAnsi="ArialMT" w:hint="eastAsia"/>
          <w:color w:val="000000"/>
          <w:szCs w:val="20"/>
          <w:lang w:val="sl-SI"/>
        </w:rPr>
        <w:t>ž</w:t>
      </w:r>
      <w:r w:rsidRPr="00897C92">
        <w:rPr>
          <w:rFonts w:ascii="ArialMT" w:hAnsi="ArialMT"/>
          <w:color w:val="000000"/>
          <w:szCs w:val="20"/>
          <w:lang w:val="sl-SI"/>
        </w:rPr>
        <w:t>iserji dramskih predstav, dirigenti orkestrov, vodje pevskih zborov, oblikovalci tona ter varietejski in</w:t>
      </w:r>
      <w:r>
        <w:rPr>
          <w:rFonts w:ascii="ArialMT" w:hAnsi="ArialMT"/>
          <w:color w:val="000000"/>
          <w:szCs w:val="20"/>
          <w:lang w:val="sl-SI"/>
        </w:rPr>
        <w:t xml:space="preserve"> </w:t>
      </w:r>
      <w:r w:rsidRPr="00897C92">
        <w:rPr>
          <w:rFonts w:ascii="ArialMT" w:hAnsi="ArialMT"/>
          <w:color w:val="000000"/>
          <w:szCs w:val="20"/>
          <w:lang w:val="sl-SI"/>
        </w:rPr>
        <w:t>cirku</w:t>
      </w:r>
      <w:r w:rsidRPr="00897C92">
        <w:rPr>
          <w:rFonts w:ascii="ArialMT" w:hAnsi="ArialMT" w:hint="eastAsia"/>
          <w:color w:val="000000"/>
          <w:szCs w:val="20"/>
          <w:lang w:val="sl-SI"/>
        </w:rPr>
        <w:t>š</w:t>
      </w:r>
      <w:r w:rsidRPr="00897C92">
        <w:rPr>
          <w:rFonts w:ascii="ArialMT" w:hAnsi="ArialMT"/>
          <w:color w:val="000000"/>
          <w:szCs w:val="20"/>
          <w:lang w:val="sl-SI"/>
        </w:rPr>
        <w:t>ki umetniki</w:t>
      </w:r>
      <w:r>
        <w:rPr>
          <w:rFonts w:ascii="ArialMT" w:hAnsi="ArialMT"/>
          <w:color w:val="000000"/>
          <w:szCs w:val="20"/>
          <w:lang w:val="sl-SI"/>
        </w:rPr>
        <w:t>.</w:t>
      </w:r>
    </w:p>
    <w:p w14:paraId="713B1972" w14:textId="77777777" w:rsidR="00B67922" w:rsidRDefault="00B67922" w:rsidP="00B67922">
      <w:pPr>
        <w:jc w:val="both"/>
        <w:rPr>
          <w:rFonts w:ascii="ArialMT" w:hAnsi="ArialMT"/>
          <w:color w:val="000000"/>
          <w:szCs w:val="20"/>
          <w:lang w:val="sl-SI"/>
        </w:rPr>
      </w:pPr>
    </w:p>
    <w:p w14:paraId="034C2D78" w14:textId="77777777" w:rsidR="00B67922" w:rsidRDefault="00B67922" w:rsidP="00B67922">
      <w:pPr>
        <w:jc w:val="both"/>
        <w:rPr>
          <w:lang w:val="sl-SI"/>
        </w:rPr>
      </w:pPr>
      <w:r w:rsidRPr="00897C92">
        <w:rPr>
          <w:lang w:val="sl-SI"/>
        </w:rPr>
        <w:t>Iz navedenega izhaja, da se od nadomestila za uveljavljanje pravic pri javni priobčitvi fonograma  obra</w:t>
      </w:r>
      <w:r w:rsidRPr="00897C92">
        <w:rPr>
          <w:rFonts w:hint="eastAsia"/>
          <w:lang w:val="sl-SI"/>
        </w:rPr>
        <w:t>č</w:t>
      </w:r>
      <w:r w:rsidRPr="00897C92">
        <w:rPr>
          <w:lang w:val="sl-SI"/>
        </w:rPr>
        <w:t>una</w:t>
      </w:r>
      <w:r>
        <w:rPr>
          <w:lang w:val="sl-SI"/>
        </w:rPr>
        <w:t xml:space="preserve"> DDV po</w:t>
      </w:r>
      <w:r w:rsidRPr="00897C92">
        <w:rPr>
          <w:lang w:val="sl-SI"/>
        </w:rPr>
        <w:t xml:space="preserve"> </w:t>
      </w:r>
      <w:r>
        <w:rPr>
          <w:lang w:val="sl-SI"/>
        </w:rPr>
        <w:t>nižji,</w:t>
      </w:r>
      <w:r w:rsidRPr="00897C92">
        <w:rPr>
          <w:lang w:val="sl-SI"/>
        </w:rPr>
        <w:t xml:space="preserve"> </w:t>
      </w:r>
      <w:r>
        <w:rPr>
          <w:lang w:val="sl-SI"/>
        </w:rPr>
        <w:t>9,5</w:t>
      </w:r>
      <w:r w:rsidRPr="00897C92">
        <w:rPr>
          <w:lang w:val="sl-SI"/>
        </w:rPr>
        <w:t>-odstotn</w:t>
      </w:r>
      <w:r>
        <w:rPr>
          <w:lang w:val="sl-SI"/>
        </w:rPr>
        <w:t>i</w:t>
      </w:r>
      <w:r w:rsidRPr="00897C92">
        <w:rPr>
          <w:lang w:val="sl-SI"/>
        </w:rPr>
        <w:t xml:space="preserve"> stopnj</w:t>
      </w:r>
      <w:r>
        <w:rPr>
          <w:lang w:val="sl-SI"/>
        </w:rPr>
        <w:t>i</w:t>
      </w:r>
      <w:r w:rsidRPr="00897C92">
        <w:rPr>
          <w:lang w:val="sl-SI"/>
        </w:rPr>
        <w:t xml:space="preserve">, </w:t>
      </w:r>
      <w:r w:rsidRPr="00897C92">
        <w:rPr>
          <w:rFonts w:hint="eastAsia"/>
          <w:lang w:val="sl-SI"/>
        </w:rPr>
        <w:t>č</w:t>
      </w:r>
      <w:r w:rsidRPr="00897C92">
        <w:rPr>
          <w:lang w:val="sl-SI"/>
        </w:rPr>
        <w:t xml:space="preserve">e gre za </w:t>
      </w:r>
      <w:r>
        <w:rPr>
          <w:lang w:val="sl-SI"/>
        </w:rPr>
        <w:t xml:space="preserve">avtorske pravice </w:t>
      </w:r>
      <w:r w:rsidRPr="00930395">
        <w:rPr>
          <w:rFonts w:ascii="ArialMT" w:hAnsi="ArialMT"/>
          <w:color w:val="000000"/>
          <w:szCs w:val="20"/>
          <w:lang w:val="sl-SI"/>
        </w:rPr>
        <w:t>knji</w:t>
      </w:r>
      <w:r w:rsidRPr="00930395">
        <w:rPr>
          <w:rFonts w:ascii="ArialMT" w:hAnsi="ArialMT" w:hint="eastAsia"/>
          <w:color w:val="000000"/>
          <w:szCs w:val="20"/>
          <w:lang w:val="sl-SI"/>
        </w:rPr>
        <w:t>ž</w:t>
      </w:r>
      <w:r w:rsidRPr="00930395">
        <w:rPr>
          <w:rFonts w:ascii="ArialMT" w:hAnsi="ArialMT"/>
          <w:color w:val="000000"/>
          <w:szCs w:val="20"/>
          <w:lang w:val="sl-SI"/>
        </w:rPr>
        <w:t>evnikov</w:t>
      </w:r>
      <w:r>
        <w:rPr>
          <w:rFonts w:ascii="ArialMT" w:hAnsi="ArialMT"/>
          <w:color w:val="000000"/>
          <w:szCs w:val="20"/>
          <w:lang w:val="sl-SI"/>
        </w:rPr>
        <w:t xml:space="preserve"> </w:t>
      </w:r>
      <w:r w:rsidRPr="00930395">
        <w:rPr>
          <w:rFonts w:ascii="ArialMT" w:hAnsi="ArialMT"/>
          <w:color w:val="000000"/>
          <w:szCs w:val="20"/>
          <w:lang w:val="sl-SI"/>
        </w:rPr>
        <w:t>in skladateljev ter storitve izvajalskih umetnikov</w:t>
      </w:r>
      <w:r>
        <w:rPr>
          <w:lang w:val="sl-SI"/>
        </w:rPr>
        <w:t xml:space="preserve"> iz </w:t>
      </w:r>
      <w:r w:rsidRPr="00E123B4">
        <w:rPr>
          <w:rFonts w:ascii="ArialMT" w:hAnsi="ArialMT"/>
          <w:color w:val="000000"/>
          <w:szCs w:val="20"/>
          <w:lang w:val="sl-SI"/>
        </w:rPr>
        <w:t>8. točk</w:t>
      </w:r>
      <w:r>
        <w:rPr>
          <w:rFonts w:ascii="ArialMT" w:hAnsi="ArialMT"/>
          <w:color w:val="000000"/>
          <w:szCs w:val="20"/>
          <w:lang w:val="sl-SI"/>
        </w:rPr>
        <w:t>e</w:t>
      </w:r>
      <w:r w:rsidRPr="00E123B4">
        <w:rPr>
          <w:rFonts w:ascii="ArialMT" w:hAnsi="ArialMT"/>
          <w:color w:val="000000"/>
          <w:szCs w:val="20"/>
          <w:lang w:val="sl-SI"/>
        </w:rPr>
        <w:t xml:space="preserve"> Priloge I k ZDD</w:t>
      </w:r>
      <w:r w:rsidRPr="00897C92">
        <w:rPr>
          <w:lang w:val="sl-SI"/>
        </w:rPr>
        <w:t>V-1</w:t>
      </w:r>
      <w:r>
        <w:rPr>
          <w:lang w:val="sl-SI"/>
        </w:rPr>
        <w:t>.</w:t>
      </w:r>
      <w:r w:rsidRPr="00897C92">
        <w:rPr>
          <w:lang w:val="sl-SI"/>
        </w:rPr>
        <w:t xml:space="preserve"> </w:t>
      </w:r>
      <w:r>
        <w:rPr>
          <w:lang w:val="sl-SI"/>
        </w:rPr>
        <w:t xml:space="preserve">Če ne gre za te storitve, </w:t>
      </w:r>
      <w:r w:rsidRPr="00897C92">
        <w:rPr>
          <w:lang w:val="sl-SI"/>
        </w:rPr>
        <w:t xml:space="preserve">se obračuna </w:t>
      </w:r>
      <w:r>
        <w:rPr>
          <w:lang w:val="sl-SI"/>
        </w:rPr>
        <w:t xml:space="preserve">DDV po </w:t>
      </w:r>
      <w:r w:rsidRPr="00897C92">
        <w:rPr>
          <w:lang w:val="sl-SI"/>
        </w:rPr>
        <w:t>splo</w:t>
      </w:r>
      <w:r w:rsidRPr="00897C92">
        <w:rPr>
          <w:rFonts w:hint="eastAsia"/>
          <w:lang w:val="sl-SI"/>
        </w:rPr>
        <w:t>š</w:t>
      </w:r>
      <w:r w:rsidRPr="00897C92">
        <w:rPr>
          <w:lang w:val="sl-SI"/>
        </w:rPr>
        <w:t>n</w:t>
      </w:r>
      <w:r>
        <w:rPr>
          <w:lang w:val="sl-SI"/>
        </w:rPr>
        <w:t>i,</w:t>
      </w:r>
      <w:r w:rsidRPr="00897C92">
        <w:rPr>
          <w:lang w:val="sl-SI"/>
        </w:rPr>
        <w:t xml:space="preserve"> 22-odstotn</w:t>
      </w:r>
      <w:r>
        <w:rPr>
          <w:lang w:val="sl-SI"/>
        </w:rPr>
        <w:t>i</w:t>
      </w:r>
      <w:r w:rsidRPr="00897C92">
        <w:rPr>
          <w:lang w:val="sl-SI"/>
        </w:rPr>
        <w:t xml:space="preserve"> stopnj</w:t>
      </w:r>
      <w:r>
        <w:rPr>
          <w:lang w:val="sl-SI"/>
        </w:rPr>
        <w:t>i</w:t>
      </w:r>
      <w:r w:rsidRPr="00897C92">
        <w:rPr>
          <w:lang w:val="sl-SI"/>
        </w:rPr>
        <w:t>.</w:t>
      </w:r>
    </w:p>
    <w:p w14:paraId="1C78FC3C" w14:textId="77777777" w:rsidR="00B67922" w:rsidRDefault="00B67922" w:rsidP="00B67922">
      <w:pPr>
        <w:jc w:val="both"/>
        <w:rPr>
          <w:lang w:val="sl-SI"/>
        </w:rPr>
      </w:pPr>
    </w:p>
    <w:p w14:paraId="687140A5" w14:textId="539BD072" w:rsidR="00B67922" w:rsidRPr="00B81FD9" w:rsidRDefault="00B67922" w:rsidP="00B67922">
      <w:pPr>
        <w:jc w:val="both"/>
        <w:rPr>
          <w:lang w:val="sl-SI"/>
        </w:rPr>
      </w:pPr>
      <w:r>
        <w:rPr>
          <w:lang w:val="sl-SI"/>
        </w:rPr>
        <w:t>S tem pojasnilom se v delu nadomešča</w:t>
      </w:r>
      <w:r w:rsidR="00F13FF4">
        <w:rPr>
          <w:lang w:val="sl-SI"/>
        </w:rPr>
        <w:t>jo</w:t>
      </w:r>
      <w:r>
        <w:rPr>
          <w:lang w:val="sl-SI"/>
        </w:rPr>
        <w:t xml:space="preserve"> in dopolnjuje</w:t>
      </w:r>
      <w:r w:rsidR="00F13FF4">
        <w:rPr>
          <w:lang w:val="sl-SI"/>
        </w:rPr>
        <w:t>jo</w:t>
      </w:r>
      <w:r>
        <w:rPr>
          <w:lang w:val="sl-SI"/>
        </w:rPr>
        <w:t xml:space="preserve"> pojasnil</w:t>
      </w:r>
      <w:r w:rsidR="00F13FF4">
        <w:rPr>
          <w:lang w:val="sl-SI"/>
        </w:rPr>
        <w:t>a</w:t>
      </w:r>
      <w:r>
        <w:rPr>
          <w:lang w:val="sl-SI"/>
        </w:rPr>
        <w:t xml:space="preserve">, iz katerih izhaja, da obravnavano nadomestilo ni predmet DDV. </w:t>
      </w:r>
      <w:r w:rsidRPr="00B81FD9">
        <w:rPr>
          <w:lang w:val="sl-SI"/>
        </w:rPr>
        <w:t>Sprememba stališča, na podlagi katerega je obravnav</w:t>
      </w:r>
      <w:r>
        <w:rPr>
          <w:lang w:val="sl-SI"/>
        </w:rPr>
        <w:t>a</w:t>
      </w:r>
      <w:r w:rsidRPr="00B81FD9">
        <w:rPr>
          <w:lang w:val="sl-SI"/>
        </w:rPr>
        <w:t>no nadomestilo predmet DDV, se uporablja od izdaje tega pojasnila dalje.</w:t>
      </w:r>
    </w:p>
    <w:bookmarkEnd w:id="0"/>
    <w:p w14:paraId="21E8032C" w14:textId="77777777" w:rsidR="00F57FED" w:rsidRPr="00BC2517" w:rsidRDefault="00F57FED" w:rsidP="007D75CF">
      <w:pPr>
        <w:rPr>
          <w:lang w:val="sl-SI"/>
        </w:rPr>
      </w:pPr>
    </w:p>
    <w:p w14:paraId="5CCE6D53" w14:textId="77777777" w:rsidR="00377950" w:rsidRPr="00BC2517" w:rsidRDefault="00377950" w:rsidP="007D75CF">
      <w:pPr>
        <w:rPr>
          <w:lang w:val="sl-SI"/>
        </w:rPr>
      </w:pPr>
    </w:p>
    <w:p w14:paraId="19687D9D" w14:textId="77777777" w:rsidR="007E6DC5" w:rsidRPr="00BC2517" w:rsidRDefault="007E6DC5" w:rsidP="007D75CF">
      <w:pPr>
        <w:rPr>
          <w:lang w:val="sl-SI"/>
        </w:rPr>
      </w:pPr>
    </w:p>
    <w:sectPr w:rsidR="007E6DC5" w:rsidRPr="00BC2517" w:rsidSect="00F0025B">
      <w:headerReference w:type="even" r:id="rId21"/>
      <w:headerReference w:type="default" r:id="rId22"/>
      <w:footerReference w:type="even" r:id="rId23"/>
      <w:footerReference w:type="default" r:id="rId24"/>
      <w:headerReference w:type="first" r:id="rId25"/>
      <w:footerReference w:type="first" r:id="rId2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6927" w14:textId="77777777" w:rsidR="001871EA" w:rsidRDefault="001871EA">
      <w:pPr>
        <w:spacing w:line="240" w:lineRule="auto"/>
      </w:pPr>
      <w:r>
        <w:separator/>
      </w:r>
    </w:p>
  </w:endnote>
  <w:endnote w:type="continuationSeparator" w:id="0">
    <w:p w14:paraId="6DD52ADB" w14:textId="77777777" w:rsidR="001871EA" w:rsidRDefault="00187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DD7F"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4712" w14:textId="77777777" w:rsidR="000B0B21" w:rsidRDefault="00EF0474"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61D5" w14:textId="77777777" w:rsidR="000B0B21" w:rsidRDefault="00EF0474"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77D9" w14:textId="77777777" w:rsidR="001871EA" w:rsidRDefault="001871EA">
      <w:pPr>
        <w:spacing w:line="240" w:lineRule="auto"/>
      </w:pPr>
      <w:r>
        <w:separator/>
      </w:r>
    </w:p>
  </w:footnote>
  <w:footnote w:type="continuationSeparator" w:id="0">
    <w:p w14:paraId="7F7DADDC" w14:textId="77777777" w:rsidR="001871EA" w:rsidRDefault="00187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557"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36AB"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47CE7" w14:paraId="451B74D7" w14:textId="77777777">
      <w:trPr>
        <w:cantSplit/>
        <w:trHeight w:hRule="exact" w:val="847"/>
      </w:trPr>
      <w:tc>
        <w:tcPr>
          <w:tcW w:w="567" w:type="dxa"/>
        </w:tcPr>
        <w:p w14:paraId="06AE058C" w14:textId="77777777" w:rsidR="000B0B21" w:rsidRDefault="00EF047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177824" w14:textId="77777777" w:rsidR="000B0B21" w:rsidRPr="006D42D9" w:rsidRDefault="000B0B21" w:rsidP="006D42D9">
          <w:pPr>
            <w:rPr>
              <w:rFonts w:ascii="Republika" w:hAnsi="Republika"/>
              <w:sz w:val="60"/>
              <w:szCs w:val="60"/>
              <w:lang w:val="sl-SI"/>
            </w:rPr>
          </w:pPr>
        </w:p>
        <w:p w14:paraId="6868E454" w14:textId="77777777" w:rsidR="000B0B21" w:rsidRPr="006D42D9" w:rsidRDefault="000B0B21" w:rsidP="006D42D9">
          <w:pPr>
            <w:rPr>
              <w:rFonts w:ascii="Republika" w:hAnsi="Republika"/>
              <w:sz w:val="60"/>
              <w:szCs w:val="60"/>
              <w:lang w:val="sl-SI"/>
            </w:rPr>
          </w:pPr>
        </w:p>
        <w:p w14:paraId="1B0C4FE5" w14:textId="77777777" w:rsidR="000B0B21" w:rsidRPr="006D42D9" w:rsidRDefault="000B0B21" w:rsidP="006D42D9">
          <w:pPr>
            <w:rPr>
              <w:rFonts w:ascii="Republika" w:hAnsi="Republika"/>
              <w:sz w:val="60"/>
              <w:szCs w:val="60"/>
              <w:lang w:val="sl-SI"/>
            </w:rPr>
          </w:pPr>
        </w:p>
        <w:p w14:paraId="4261D4D0" w14:textId="77777777" w:rsidR="000B0B21" w:rsidRPr="006D42D9" w:rsidRDefault="000B0B21" w:rsidP="006D42D9">
          <w:pPr>
            <w:rPr>
              <w:rFonts w:ascii="Republika" w:hAnsi="Republika"/>
              <w:sz w:val="60"/>
              <w:szCs w:val="60"/>
              <w:lang w:val="sl-SI"/>
            </w:rPr>
          </w:pPr>
        </w:p>
        <w:p w14:paraId="3E2E1A7C" w14:textId="77777777" w:rsidR="000B0B21" w:rsidRPr="006D42D9" w:rsidRDefault="000B0B21" w:rsidP="006D42D9">
          <w:pPr>
            <w:rPr>
              <w:rFonts w:ascii="Republika" w:hAnsi="Republika"/>
              <w:sz w:val="60"/>
              <w:szCs w:val="60"/>
              <w:lang w:val="sl-SI"/>
            </w:rPr>
          </w:pPr>
        </w:p>
        <w:p w14:paraId="09BAE89B" w14:textId="77777777" w:rsidR="000B0B21" w:rsidRPr="006D42D9" w:rsidRDefault="000B0B21" w:rsidP="006D42D9">
          <w:pPr>
            <w:rPr>
              <w:rFonts w:ascii="Republika" w:hAnsi="Republika"/>
              <w:sz w:val="60"/>
              <w:szCs w:val="60"/>
              <w:lang w:val="sl-SI"/>
            </w:rPr>
          </w:pPr>
        </w:p>
        <w:p w14:paraId="627A48D0" w14:textId="77777777" w:rsidR="000B0B21" w:rsidRPr="006D42D9" w:rsidRDefault="000B0B21" w:rsidP="006D42D9">
          <w:pPr>
            <w:rPr>
              <w:rFonts w:ascii="Republika" w:hAnsi="Republika"/>
              <w:sz w:val="60"/>
              <w:szCs w:val="60"/>
              <w:lang w:val="sl-SI"/>
            </w:rPr>
          </w:pPr>
        </w:p>
        <w:p w14:paraId="084850D9" w14:textId="77777777" w:rsidR="000B0B21" w:rsidRPr="006D42D9" w:rsidRDefault="000B0B21" w:rsidP="006D42D9">
          <w:pPr>
            <w:rPr>
              <w:rFonts w:ascii="Republika" w:hAnsi="Republika"/>
              <w:sz w:val="60"/>
              <w:szCs w:val="60"/>
              <w:lang w:val="sl-SI"/>
            </w:rPr>
          </w:pPr>
        </w:p>
        <w:p w14:paraId="59523CEB" w14:textId="77777777" w:rsidR="000B0B21" w:rsidRPr="006D42D9" w:rsidRDefault="000B0B21" w:rsidP="006D42D9">
          <w:pPr>
            <w:rPr>
              <w:rFonts w:ascii="Republika" w:hAnsi="Republika"/>
              <w:sz w:val="60"/>
              <w:szCs w:val="60"/>
              <w:lang w:val="sl-SI"/>
            </w:rPr>
          </w:pPr>
        </w:p>
        <w:p w14:paraId="42F7E407" w14:textId="77777777" w:rsidR="000B0B21" w:rsidRPr="006D42D9" w:rsidRDefault="000B0B21" w:rsidP="006D42D9">
          <w:pPr>
            <w:rPr>
              <w:rFonts w:ascii="Republika" w:hAnsi="Republika"/>
              <w:sz w:val="60"/>
              <w:szCs w:val="60"/>
              <w:lang w:val="sl-SI"/>
            </w:rPr>
          </w:pPr>
        </w:p>
        <w:p w14:paraId="3AF3C685" w14:textId="77777777" w:rsidR="000B0B21" w:rsidRPr="006D42D9" w:rsidRDefault="000B0B21" w:rsidP="006D42D9">
          <w:pPr>
            <w:rPr>
              <w:rFonts w:ascii="Republika" w:hAnsi="Republika"/>
              <w:sz w:val="60"/>
              <w:szCs w:val="60"/>
              <w:lang w:val="sl-SI"/>
            </w:rPr>
          </w:pPr>
        </w:p>
        <w:p w14:paraId="3513BE53" w14:textId="77777777" w:rsidR="000B0B21" w:rsidRPr="006D42D9" w:rsidRDefault="000B0B21" w:rsidP="006D42D9">
          <w:pPr>
            <w:rPr>
              <w:rFonts w:ascii="Republika" w:hAnsi="Republika"/>
              <w:sz w:val="60"/>
              <w:szCs w:val="60"/>
              <w:lang w:val="sl-SI"/>
            </w:rPr>
          </w:pPr>
        </w:p>
        <w:p w14:paraId="5179401B" w14:textId="77777777" w:rsidR="000B0B21" w:rsidRPr="006D42D9" w:rsidRDefault="000B0B21" w:rsidP="006D42D9">
          <w:pPr>
            <w:rPr>
              <w:rFonts w:ascii="Republika" w:hAnsi="Republika"/>
              <w:sz w:val="60"/>
              <w:szCs w:val="60"/>
              <w:lang w:val="sl-SI"/>
            </w:rPr>
          </w:pPr>
        </w:p>
        <w:p w14:paraId="339D305D" w14:textId="77777777" w:rsidR="000B0B21" w:rsidRPr="006D42D9" w:rsidRDefault="000B0B21" w:rsidP="006D42D9">
          <w:pPr>
            <w:rPr>
              <w:rFonts w:ascii="Republika" w:hAnsi="Republika"/>
              <w:sz w:val="60"/>
              <w:szCs w:val="60"/>
              <w:lang w:val="sl-SI"/>
            </w:rPr>
          </w:pPr>
        </w:p>
        <w:p w14:paraId="3055307C" w14:textId="77777777" w:rsidR="000B0B21" w:rsidRPr="006D42D9" w:rsidRDefault="000B0B21" w:rsidP="006D42D9">
          <w:pPr>
            <w:rPr>
              <w:rFonts w:ascii="Republika" w:hAnsi="Republika"/>
              <w:sz w:val="60"/>
              <w:szCs w:val="60"/>
              <w:lang w:val="sl-SI"/>
            </w:rPr>
          </w:pPr>
        </w:p>
        <w:p w14:paraId="4F31D093" w14:textId="77777777" w:rsidR="000B0B21" w:rsidRPr="006D42D9" w:rsidRDefault="000B0B21" w:rsidP="006D42D9">
          <w:pPr>
            <w:rPr>
              <w:rFonts w:ascii="Republika" w:hAnsi="Republika"/>
              <w:sz w:val="60"/>
              <w:szCs w:val="60"/>
              <w:lang w:val="sl-SI"/>
            </w:rPr>
          </w:pPr>
        </w:p>
      </w:tc>
    </w:tr>
  </w:tbl>
  <w:p w14:paraId="495E22FD" w14:textId="77777777" w:rsidR="000B0B21" w:rsidRPr="008F3500" w:rsidRDefault="00EF0474"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4AB0E15A" wp14:editId="7EC21FBE">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3B71174E" w14:textId="77777777" w:rsidR="000B0B21" w:rsidRPr="00FD746A" w:rsidRDefault="00EF0474"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C97EB8A" w14:textId="77777777" w:rsidR="00ED7E82" w:rsidRDefault="00EF047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6B341606" w14:textId="77777777" w:rsidR="005254D1" w:rsidRPr="00A12D5C" w:rsidRDefault="00EF0474"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483DDEFD" w14:textId="77777777" w:rsidR="005254D1" w:rsidRPr="008F3500" w:rsidRDefault="00EF0474"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8A05EAA" w14:textId="77777777" w:rsidR="005254D1" w:rsidRPr="008F3500" w:rsidRDefault="00EF0474"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B5C4F91" w14:textId="77777777" w:rsidR="005254D1" w:rsidRPr="008F3500" w:rsidRDefault="00EF0474"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F651CCE"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842F262">
      <w:start w:val="1"/>
      <w:numFmt w:val="decimal"/>
      <w:lvlText w:val="%1."/>
      <w:lvlJc w:val="left"/>
      <w:pPr>
        <w:tabs>
          <w:tab w:val="num" w:pos="1080"/>
        </w:tabs>
        <w:ind w:left="1080" w:hanging="360"/>
      </w:pPr>
      <w:rPr>
        <w:rFonts w:hint="default"/>
      </w:rPr>
    </w:lvl>
    <w:lvl w:ilvl="1" w:tplc="26F873F0" w:tentative="1">
      <w:start w:val="1"/>
      <w:numFmt w:val="lowerLetter"/>
      <w:lvlText w:val="%2."/>
      <w:lvlJc w:val="left"/>
      <w:pPr>
        <w:ind w:left="1800" w:hanging="360"/>
      </w:pPr>
    </w:lvl>
    <w:lvl w:ilvl="2" w:tplc="1E947FAA" w:tentative="1">
      <w:start w:val="1"/>
      <w:numFmt w:val="lowerRoman"/>
      <w:lvlText w:val="%3."/>
      <w:lvlJc w:val="right"/>
      <w:pPr>
        <w:ind w:left="2520" w:hanging="180"/>
      </w:pPr>
    </w:lvl>
    <w:lvl w:ilvl="3" w:tplc="30105D6A" w:tentative="1">
      <w:start w:val="1"/>
      <w:numFmt w:val="decimal"/>
      <w:lvlText w:val="%4."/>
      <w:lvlJc w:val="left"/>
      <w:pPr>
        <w:ind w:left="3240" w:hanging="360"/>
      </w:pPr>
    </w:lvl>
    <w:lvl w:ilvl="4" w:tplc="30A6C010" w:tentative="1">
      <w:start w:val="1"/>
      <w:numFmt w:val="lowerLetter"/>
      <w:lvlText w:val="%5."/>
      <w:lvlJc w:val="left"/>
      <w:pPr>
        <w:ind w:left="3960" w:hanging="360"/>
      </w:pPr>
    </w:lvl>
    <w:lvl w:ilvl="5" w:tplc="D286FC48" w:tentative="1">
      <w:start w:val="1"/>
      <w:numFmt w:val="lowerRoman"/>
      <w:lvlText w:val="%6."/>
      <w:lvlJc w:val="right"/>
      <w:pPr>
        <w:ind w:left="4680" w:hanging="180"/>
      </w:pPr>
    </w:lvl>
    <w:lvl w:ilvl="6" w:tplc="E0887C4E" w:tentative="1">
      <w:start w:val="1"/>
      <w:numFmt w:val="decimal"/>
      <w:lvlText w:val="%7."/>
      <w:lvlJc w:val="left"/>
      <w:pPr>
        <w:ind w:left="5400" w:hanging="360"/>
      </w:pPr>
    </w:lvl>
    <w:lvl w:ilvl="7" w:tplc="3A845E8E" w:tentative="1">
      <w:start w:val="1"/>
      <w:numFmt w:val="lowerLetter"/>
      <w:lvlText w:val="%8."/>
      <w:lvlJc w:val="left"/>
      <w:pPr>
        <w:ind w:left="6120" w:hanging="360"/>
      </w:pPr>
    </w:lvl>
    <w:lvl w:ilvl="8" w:tplc="E224045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695EBB70">
      <w:start w:val="1"/>
      <w:numFmt w:val="decimal"/>
      <w:lvlText w:val="%1."/>
      <w:lvlJc w:val="left"/>
      <w:pPr>
        <w:tabs>
          <w:tab w:val="num" w:pos="360"/>
        </w:tabs>
        <w:ind w:left="360" w:hanging="360"/>
      </w:pPr>
      <w:rPr>
        <w:rFonts w:hint="default"/>
      </w:rPr>
    </w:lvl>
    <w:lvl w:ilvl="1" w:tplc="6B504AC0" w:tentative="1">
      <w:start w:val="1"/>
      <w:numFmt w:val="lowerLetter"/>
      <w:lvlText w:val="%2."/>
      <w:lvlJc w:val="left"/>
      <w:pPr>
        <w:ind w:left="1080" w:hanging="360"/>
      </w:pPr>
    </w:lvl>
    <w:lvl w:ilvl="2" w:tplc="FC642186" w:tentative="1">
      <w:start w:val="1"/>
      <w:numFmt w:val="lowerRoman"/>
      <w:lvlText w:val="%3."/>
      <w:lvlJc w:val="right"/>
      <w:pPr>
        <w:ind w:left="1800" w:hanging="180"/>
      </w:pPr>
    </w:lvl>
    <w:lvl w:ilvl="3" w:tplc="88720A80" w:tentative="1">
      <w:start w:val="1"/>
      <w:numFmt w:val="decimal"/>
      <w:lvlText w:val="%4."/>
      <w:lvlJc w:val="left"/>
      <w:pPr>
        <w:ind w:left="2520" w:hanging="360"/>
      </w:pPr>
    </w:lvl>
    <w:lvl w:ilvl="4" w:tplc="341464C6" w:tentative="1">
      <w:start w:val="1"/>
      <w:numFmt w:val="lowerLetter"/>
      <w:lvlText w:val="%5."/>
      <w:lvlJc w:val="left"/>
      <w:pPr>
        <w:ind w:left="3240" w:hanging="360"/>
      </w:pPr>
    </w:lvl>
    <w:lvl w:ilvl="5" w:tplc="67BAABDE" w:tentative="1">
      <w:start w:val="1"/>
      <w:numFmt w:val="lowerRoman"/>
      <w:lvlText w:val="%6."/>
      <w:lvlJc w:val="right"/>
      <w:pPr>
        <w:ind w:left="3960" w:hanging="180"/>
      </w:pPr>
    </w:lvl>
    <w:lvl w:ilvl="6" w:tplc="ECF8A92A" w:tentative="1">
      <w:start w:val="1"/>
      <w:numFmt w:val="decimal"/>
      <w:lvlText w:val="%7."/>
      <w:lvlJc w:val="left"/>
      <w:pPr>
        <w:ind w:left="4680" w:hanging="360"/>
      </w:pPr>
    </w:lvl>
    <w:lvl w:ilvl="7" w:tplc="50F43522" w:tentative="1">
      <w:start w:val="1"/>
      <w:numFmt w:val="lowerLetter"/>
      <w:lvlText w:val="%8."/>
      <w:lvlJc w:val="left"/>
      <w:pPr>
        <w:ind w:left="5400" w:hanging="360"/>
      </w:pPr>
    </w:lvl>
    <w:lvl w:ilvl="8" w:tplc="DCE24E7E"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BCAA5D6">
      <w:start w:val="1"/>
      <w:numFmt w:val="decimal"/>
      <w:lvlText w:val="%1."/>
      <w:lvlJc w:val="left"/>
      <w:pPr>
        <w:tabs>
          <w:tab w:val="num" w:pos="720"/>
        </w:tabs>
        <w:ind w:left="720" w:hanging="360"/>
      </w:pPr>
      <w:rPr>
        <w:rFonts w:hint="default"/>
      </w:rPr>
    </w:lvl>
    <w:lvl w:ilvl="1" w:tplc="A86E1E26" w:tentative="1">
      <w:start w:val="1"/>
      <w:numFmt w:val="lowerLetter"/>
      <w:lvlText w:val="%2."/>
      <w:lvlJc w:val="left"/>
      <w:pPr>
        <w:tabs>
          <w:tab w:val="num" w:pos="1440"/>
        </w:tabs>
        <w:ind w:left="1440" w:hanging="360"/>
      </w:pPr>
    </w:lvl>
    <w:lvl w:ilvl="2" w:tplc="E862B71C" w:tentative="1">
      <w:start w:val="1"/>
      <w:numFmt w:val="lowerRoman"/>
      <w:lvlText w:val="%3."/>
      <w:lvlJc w:val="right"/>
      <w:pPr>
        <w:tabs>
          <w:tab w:val="num" w:pos="2160"/>
        </w:tabs>
        <w:ind w:left="2160" w:hanging="180"/>
      </w:pPr>
    </w:lvl>
    <w:lvl w:ilvl="3" w:tplc="4310382A" w:tentative="1">
      <w:start w:val="1"/>
      <w:numFmt w:val="decimal"/>
      <w:lvlText w:val="%4."/>
      <w:lvlJc w:val="left"/>
      <w:pPr>
        <w:tabs>
          <w:tab w:val="num" w:pos="2880"/>
        </w:tabs>
        <w:ind w:left="2880" w:hanging="360"/>
      </w:pPr>
    </w:lvl>
    <w:lvl w:ilvl="4" w:tplc="F63CE77E" w:tentative="1">
      <w:start w:val="1"/>
      <w:numFmt w:val="lowerLetter"/>
      <w:lvlText w:val="%5."/>
      <w:lvlJc w:val="left"/>
      <w:pPr>
        <w:tabs>
          <w:tab w:val="num" w:pos="3600"/>
        </w:tabs>
        <w:ind w:left="3600" w:hanging="360"/>
      </w:pPr>
    </w:lvl>
    <w:lvl w:ilvl="5" w:tplc="4894E54A" w:tentative="1">
      <w:start w:val="1"/>
      <w:numFmt w:val="lowerRoman"/>
      <w:lvlText w:val="%6."/>
      <w:lvlJc w:val="right"/>
      <w:pPr>
        <w:tabs>
          <w:tab w:val="num" w:pos="4320"/>
        </w:tabs>
        <w:ind w:left="4320" w:hanging="180"/>
      </w:pPr>
    </w:lvl>
    <w:lvl w:ilvl="6" w:tplc="DF820E98" w:tentative="1">
      <w:start w:val="1"/>
      <w:numFmt w:val="decimal"/>
      <w:lvlText w:val="%7."/>
      <w:lvlJc w:val="left"/>
      <w:pPr>
        <w:tabs>
          <w:tab w:val="num" w:pos="5040"/>
        </w:tabs>
        <w:ind w:left="5040" w:hanging="360"/>
      </w:pPr>
    </w:lvl>
    <w:lvl w:ilvl="7" w:tplc="1BA26124" w:tentative="1">
      <w:start w:val="1"/>
      <w:numFmt w:val="lowerLetter"/>
      <w:lvlText w:val="%8."/>
      <w:lvlJc w:val="left"/>
      <w:pPr>
        <w:tabs>
          <w:tab w:val="num" w:pos="5760"/>
        </w:tabs>
        <w:ind w:left="5760" w:hanging="360"/>
      </w:pPr>
    </w:lvl>
    <w:lvl w:ilvl="8" w:tplc="327C3310"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DD022CEA">
      <w:start w:val="1"/>
      <w:numFmt w:val="decimal"/>
      <w:lvlText w:val="%1."/>
      <w:lvlJc w:val="left"/>
      <w:pPr>
        <w:tabs>
          <w:tab w:val="num" w:pos="720"/>
        </w:tabs>
        <w:ind w:left="720" w:hanging="360"/>
      </w:pPr>
    </w:lvl>
    <w:lvl w:ilvl="1" w:tplc="6BCCF43A" w:tentative="1">
      <w:start w:val="1"/>
      <w:numFmt w:val="lowerLetter"/>
      <w:lvlText w:val="%2."/>
      <w:lvlJc w:val="left"/>
      <w:pPr>
        <w:tabs>
          <w:tab w:val="num" w:pos="1440"/>
        </w:tabs>
        <w:ind w:left="1440" w:hanging="360"/>
      </w:pPr>
    </w:lvl>
    <w:lvl w:ilvl="2" w:tplc="0980BF66" w:tentative="1">
      <w:start w:val="1"/>
      <w:numFmt w:val="lowerRoman"/>
      <w:lvlText w:val="%3."/>
      <w:lvlJc w:val="right"/>
      <w:pPr>
        <w:tabs>
          <w:tab w:val="num" w:pos="2160"/>
        </w:tabs>
        <w:ind w:left="2160" w:hanging="180"/>
      </w:pPr>
    </w:lvl>
    <w:lvl w:ilvl="3" w:tplc="443C2B60" w:tentative="1">
      <w:start w:val="1"/>
      <w:numFmt w:val="decimal"/>
      <w:lvlText w:val="%4."/>
      <w:lvlJc w:val="left"/>
      <w:pPr>
        <w:tabs>
          <w:tab w:val="num" w:pos="2880"/>
        </w:tabs>
        <w:ind w:left="2880" w:hanging="360"/>
      </w:pPr>
    </w:lvl>
    <w:lvl w:ilvl="4" w:tplc="641038C2" w:tentative="1">
      <w:start w:val="1"/>
      <w:numFmt w:val="lowerLetter"/>
      <w:lvlText w:val="%5."/>
      <w:lvlJc w:val="left"/>
      <w:pPr>
        <w:tabs>
          <w:tab w:val="num" w:pos="3600"/>
        </w:tabs>
        <w:ind w:left="3600" w:hanging="360"/>
      </w:pPr>
    </w:lvl>
    <w:lvl w:ilvl="5" w:tplc="CB5ABC3A" w:tentative="1">
      <w:start w:val="1"/>
      <w:numFmt w:val="lowerRoman"/>
      <w:lvlText w:val="%6."/>
      <w:lvlJc w:val="right"/>
      <w:pPr>
        <w:tabs>
          <w:tab w:val="num" w:pos="4320"/>
        </w:tabs>
        <w:ind w:left="4320" w:hanging="180"/>
      </w:pPr>
    </w:lvl>
    <w:lvl w:ilvl="6" w:tplc="923A4AB4" w:tentative="1">
      <w:start w:val="1"/>
      <w:numFmt w:val="decimal"/>
      <w:lvlText w:val="%7."/>
      <w:lvlJc w:val="left"/>
      <w:pPr>
        <w:tabs>
          <w:tab w:val="num" w:pos="5040"/>
        </w:tabs>
        <w:ind w:left="5040" w:hanging="360"/>
      </w:pPr>
    </w:lvl>
    <w:lvl w:ilvl="7" w:tplc="745C4888" w:tentative="1">
      <w:start w:val="1"/>
      <w:numFmt w:val="lowerLetter"/>
      <w:lvlText w:val="%8."/>
      <w:lvlJc w:val="left"/>
      <w:pPr>
        <w:tabs>
          <w:tab w:val="num" w:pos="5760"/>
        </w:tabs>
        <w:ind w:left="5760" w:hanging="360"/>
      </w:pPr>
    </w:lvl>
    <w:lvl w:ilvl="8" w:tplc="0734C27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43D6"/>
    <w:rsid w:val="000063FF"/>
    <w:rsid w:val="000206AE"/>
    <w:rsid w:val="00023A88"/>
    <w:rsid w:val="000636E1"/>
    <w:rsid w:val="0008352D"/>
    <w:rsid w:val="000A07CE"/>
    <w:rsid w:val="000A2C92"/>
    <w:rsid w:val="000A7238"/>
    <w:rsid w:val="000B0B21"/>
    <w:rsid w:val="000D08A9"/>
    <w:rsid w:val="000F3D38"/>
    <w:rsid w:val="00110CBD"/>
    <w:rsid w:val="00117082"/>
    <w:rsid w:val="001357B2"/>
    <w:rsid w:val="00151388"/>
    <w:rsid w:val="00151872"/>
    <w:rsid w:val="00160E5F"/>
    <w:rsid w:val="001871EA"/>
    <w:rsid w:val="001A3BA5"/>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5149DF"/>
    <w:rsid w:val="005254D1"/>
    <w:rsid w:val="00525C18"/>
    <w:rsid w:val="00526246"/>
    <w:rsid w:val="00547CE7"/>
    <w:rsid w:val="0055206D"/>
    <w:rsid w:val="00567106"/>
    <w:rsid w:val="005709F2"/>
    <w:rsid w:val="005866A7"/>
    <w:rsid w:val="005916E5"/>
    <w:rsid w:val="005B0438"/>
    <w:rsid w:val="005E1D3C"/>
    <w:rsid w:val="006268BE"/>
    <w:rsid w:val="00632253"/>
    <w:rsid w:val="00642714"/>
    <w:rsid w:val="00643C4E"/>
    <w:rsid w:val="006455CE"/>
    <w:rsid w:val="006D42D9"/>
    <w:rsid w:val="006F142E"/>
    <w:rsid w:val="00726463"/>
    <w:rsid w:val="00733017"/>
    <w:rsid w:val="00751D38"/>
    <w:rsid w:val="00775FED"/>
    <w:rsid w:val="00783310"/>
    <w:rsid w:val="00794B95"/>
    <w:rsid w:val="00794E63"/>
    <w:rsid w:val="007A4A6D"/>
    <w:rsid w:val="007D1BCF"/>
    <w:rsid w:val="007D75CF"/>
    <w:rsid w:val="007E6DC5"/>
    <w:rsid w:val="00801975"/>
    <w:rsid w:val="0088043C"/>
    <w:rsid w:val="008906C9"/>
    <w:rsid w:val="008A5918"/>
    <w:rsid w:val="008B2E72"/>
    <w:rsid w:val="008C00F2"/>
    <w:rsid w:val="008C5738"/>
    <w:rsid w:val="008D04F0"/>
    <w:rsid w:val="008E2D84"/>
    <w:rsid w:val="008E5337"/>
    <w:rsid w:val="008F3500"/>
    <w:rsid w:val="008F537E"/>
    <w:rsid w:val="00900F83"/>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B011EA"/>
    <w:rsid w:val="00B17141"/>
    <w:rsid w:val="00B31575"/>
    <w:rsid w:val="00B63BD4"/>
    <w:rsid w:val="00B653A6"/>
    <w:rsid w:val="00B677B6"/>
    <w:rsid w:val="00B67922"/>
    <w:rsid w:val="00B8547D"/>
    <w:rsid w:val="00BC2517"/>
    <w:rsid w:val="00BC61EF"/>
    <w:rsid w:val="00BE423F"/>
    <w:rsid w:val="00C250D5"/>
    <w:rsid w:val="00C47F8D"/>
    <w:rsid w:val="00C52DAE"/>
    <w:rsid w:val="00C57EED"/>
    <w:rsid w:val="00C81391"/>
    <w:rsid w:val="00C92898"/>
    <w:rsid w:val="00C97222"/>
    <w:rsid w:val="00CA28CB"/>
    <w:rsid w:val="00CE7514"/>
    <w:rsid w:val="00D248DE"/>
    <w:rsid w:val="00D25427"/>
    <w:rsid w:val="00D31B74"/>
    <w:rsid w:val="00D3564D"/>
    <w:rsid w:val="00D8542D"/>
    <w:rsid w:val="00DB11E1"/>
    <w:rsid w:val="00DB4E6F"/>
    <w:rsid w:val="00DC62F6"/>
    <w:rsid w:val="00DC6A71"/>
    <w:rsid w:val="00DD6CC3"/>
    <w:rsid w:val="00DE5B46"/>
    <w:rsid w:val="00E0357D"/>
    <w:rsid w:val="00E24EC2"/>
    <w:rsid w:val="00E51C0F"/>
    <w:rsid w:val="00E8201C"/>
    <w:rsid w:val="00E94ECF"/>
    <w:rsid w:val="00ED00D1"/>
    <w:rsid w:val="00ED7E82"/>
    <w:rsid w:val="00EF0474"/>
    <w:rsid w:val="00EF3280"/>
    <w:rsid w:val="00F0025B"/>
    <w:rsid w:val="00F02E53"/>
    <w:rsid w:val="00F13FF4"/>
    <w:rsid w:val="00F240BB"/>
    <w:rsid w:val="00F42CE8"/>
    <w:rsid w:val="00F46724"/>
    <w:rsid w:val="00F47F58"/>
    <w:rsid w:val="00F57FED"/>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AE74B2"/>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customStyle="1" w:styleId="fontstyle01">
    <w:name w:val="fontstyle01"/>
    <w:basedOn w:val="Privzetapisavaodstavka"/>
    <w:rsid w:val="00B67922"/>
    <w:rPr>
      <w:rFonts w:ascii="Arial" w:hAnsi="Arial" w:cs="Arial" w:hint="default"/>
      <w:b w:val="0"/>
      <w:bCs w:val="0"/>
      <w:i w:val="0"/>
      <w:iCs w:val="0"/>
      <w:color w:val="000000"/>
      <w:sz w:val="20"/>
      <w:szCs w:val="20"/>
    </w:rPr>
  </w:style>
  <w:style w:type="paragraph" w:customStyle="1" w:styleId="c01pointaltn">
    <w:name w:val="c01pointaltn"/>
    <w:basedOn w:val="Navaden"/>
    <w:rsid w:val="00B679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4277">
      <w:bodyDiv w:val="1"/>
      <w:marLeft w:val="0"/>
      <w:marRight w:val="0"/>
      <w:marTop w:val="0"/>
      <w:marBottom w:val="0"/>
      <w:divBdr>
        <w:top w:val="none" w:sz="0" w:space="0" w:color="auto"/>
        <w:left w:val="none" w:sz="0" w:space="0" w:color="auto"/>
        <w:bottom w:val="none" w:sz="0" w:space="0" w:color="auto"/>
        <w:right w:val="none" w:sz="0" w:space="0" w:color="auto"/>
      </w:divBdr>
    </w:div>
    <w:div w:id="20570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document.jsf;jsessionid=C04E8A1147FC68D93D5E1B9781ADA06D?text=&amp;docid=236725&amp;pageIndex=0&amp;doclang=SL&amp;mode=lst&amp;dir=&amp;occ=first&amp;part=1&amp;cid=1190086" TargetMode="External"/><Relationship Id="rId13" Type="http://schemas.openxmlformats.org/officeDocument/2006/relationships/hyperlink" Target="https://curia.europa.eu/juris/document/document.jsf?text=&amp;docid=186861&amp;pageIndex=0&amp;doclang=SL&amp;mode=req&amp;dir=&amp;occ=first&amp;part=1&amp;cid=1194209" TargetMode="External"/><Relationship Id="rId18" Type="http://schemas.openxmlformats.org/officeDocument/2006/relationships/hyperlink" Target="https://www.fu.gov.si/fileadmin/Internet/Davki_in_druge_dajatve/Podrocja/Davek_na_dodano_vrednost/Opis/Racuni.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uria.europa.eu/juris/document/document.jsf;jsessionid=C04E8A1147FC68D93D5E1B9781ADA06D?text=&amp;docid=236725&amp;pageIndex=0&amp;doclang=SL&amp;mode=lst&amp;dir=&amp;occ=first&amp;part=1&amp;cid=1190086" TargetMode="External"/><Relationship Id="rId17" Type="http://schemas.openxmlformats.org/officeDocument/2006/relationships/hyperlink" Target="https://curia.europa.eu/juris/document/document.jsf;jsessionid=C04E8A1147FC68D93D5E1B9781ADA06D?text=&amp;docid=236725&amp;pageIndex=0&amp;doclang=SL&amp;mode=lst&amp;dir=&amp;occ=first&amp;part=1&amp;cid=119008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uria.europa.eu/juris/document/document.jsf?text=&amp;docid=186861&amp;pageIndex=0&amp;doclang=SL&amp;mode=req&amp;dir=&amp;occ=first&amp;part=1&amp;cid=1194209" TargetMode="External"/><Relationship Id="rId20" Type="http://schemas.openxmlformats.org/officeDocument/2006/relationships/hyperlink" Target="http://www.pisrs.si/Pis.web/pregledPredpisa?id=PRAV7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uria.europa.eu/juris/document/document.jsf;jsessionid=C04E8A1147FC68D93D5E1B9781ADA06D?text=&amp;docid=236725&amp;pageIndex=0&amp;doclang=SL&amp;mode=lst&amp;dir=&amp;occ=first&amp;part=1&amp;cid=119008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isrs.si/Pis.web/pregledPredpisa?id=ZAKO7317" TargetMode="External"/><Relationship Id="rId19" Type="http://schemas.openxmlformats.org/officeDocument/2006/relationships/hyperlink" Target="https://www.fu.gov.si/fileadmin/Internet/Davki_in_druge_dajatve/Podrocja/Davek_na_dodano_vrednost/Opis/Davcni_zavezanci_in_identifikacija_za_namene_DDV.doc" TargetMode="External"/><Relationship Id="rId4" Type="http://schemas.openxmlformats.org/officeDocument/2006/relationships/settings" Target="settings.xml"/><Relationship Id="rId9" Type="http://schemas.openxmlformats.org/officeDocument/2006/relationships/hyperlink" Target="http://www.pisrs.si/Pis.web/pregledPredpisa?id=ZAKO403" TargetMode="External"/><Relationship Id="rId14" Type="http://schemas.openxmlformats.org/officeDocument/2006/relationships/hyperlink" Target="https://curia.europa.eu/juris/document/document.jsf?text=&amp;docid=186861&amp;pageIndex=0&amp;doclang=SL&amp;mode=req&amp;dir=&amp;occ=first&amp;part=1&amp;cid=1194209"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8</TotalTime>
  <Pages>4</Pages>
  <Words>2053</Words>
  <Characters>11707</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Petra Lapi</cp:lastModifiedBy>
  <cp:revision>6</cp:revision>
  <cp:lastPrinted>2022-09-20T11:44:00Z</cp:lastPrinted>
  <dcterms:created xsi:type="dcterms:W3CDTF">2022-09-20T11:47:00Z</dcterms:created>
  <dcterms:modified xsi:type="dcterms:W3CDTF">2022-09-21T07:55:00Z</dcterms:modified>
</cp:coreProperties>
</file>