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DD9DC" w14:textId="77777777" w:rsidR="000A2C92" w:rsidRPr="00C64E70" w:rsidRDefault="000A2C92" w:rsidP="00C64E70">
      <w:pPr>
        <w:pStyle w:val="datumtevilka"/>
        <w:spacing w:line="260" w:lineRule="exact"/>
        <w:jc w:val="both"/>
        <w:rPr>
          <w:rFonts w:cs="Arial"/>
        </w:rPr>
      </w:pPr>
      <w:bookmarkStart w:id="0" w:name="NazivSubjekta"/>
      <w:bookmarkEnd w:id="0"/>
    </w:p>
    <w:p w14:paraId="778B4927" w14:textId="77777777" w:rsidR="000A2C92" w:rsidRPr="00C64E70" w:rsidRDefault="000A2C92" w:rsidP="00C64E70">
      <w:pPr>
        <w:pStyle w:val="datumtevilka"/>
        <w:spacing w:line="260" w:lineRule="exact"/>
        <w:jc w:val="both"/>
        <w:rPr>
          <w:rFonts w:cs="Arial"/>
          <w:b/>
        </w:rPr>
      </w:pPr>
      <w:bookmarkStart w:id="1" w:name="Kraj"/>
      <w:bookmarkEnd w:id="1"/>
    </w:p>
    <w:p w14:paraId="35825D72" w14:textId="77777777" w:rsidR="000A2C92" w:rsidRPr="00C64E70" w:rsidRDefault="000A2C92" w:rsidP="00C64E70">
      <w:pPr>
        <w:pStyle w:val="datumtevilka"/>
        <w:spacing w:line="260" w:lineRule="exact"/>
        <w:jc w:val="both"/>
        <w:rPr>
          <w:rFonts w:cs="Arial"/>
          <w:b/>
        </w:rPr>
      </w:pPr>
    </w:p>
    <w:p w14:paraId="6547B70D" w14:textId="77777777" w:rsidR="006268BE" w:rsidRPr="00C64E70" w:rsidRDefault="006268BE" w:rsidP="00C64E70">
      <w:pPr>
        <w:pStyle w:val="datumtevilka"/>
        <w:spacing w:line="260" w:lineRule="exact"/>
        <w:jc w:val="both"/>
        <w:rPr>
          <w:rFonts w:cs="Arial"/>
          <w:b/>
        </w:rPr>
      </w:pPr>
    </w:p>
    <w:p w14:paraId="5F820D30" w14:textId="77777777" w:rsidR="00B82DEF" w:rsidRDefault="00B82DEF" w:rsidP="00C64E70">
      <w:pPr>
        <w:pStyle w:val="ZADEVA"/>
        <w:spacing w:line="260" w:lineRule="exact"/>
        <w:jc w:val="both"/>
        <w:rPr>
          <w:lang w:val="sl-SI"/>
        </w:rPr>
      </w:pPr>
    </w:p>
    <w:p w14:paraId="01966CDD" w14:textId="48193BAA" w:rsidR="007D75CF" w:rsidRDefault="00071578" w:rsidP="00C64E70">
      <w:pPr>
        <w:pStyle w:val="ZADEVA"/>
        <w:spacing w:line="260" w:lineRule="exact"/>
        <w:jc w:val="both"/>
        <w:rPr>
          <w:lang w:val="sl-SI"/>
        </w:rPr>
      </w:pPr>
      <w:r w:rsidRPr="00071578">
        <w:rPr>
          <w:lang w:val="sl-SI"/>
        </w:rPr>
        <w:t>Davek na motorna vozila in uvedba nov</w:t>
      </w:r>
      <w:r w:rsidR="00EF60EA">
        <w:rPr>
          <w:lang w:val="sl-SI"/>
        </w:rPr>
        <w:t>ega pres</w:t>
      </w:r>
      <w:r w:rsidRPr="00071578">
        <w:rPr>
          <w:lang w:val="sl-SI"/>
        </w:rPr>
        <w:t>kusnega postopka emisij motornih vozil</w:t>
      </w:r>
    </w:p>
    <w:p w14:paraId="0B12B32A" w14:textId="77777777" w:rsidR="00B82DEF" w:rsidRDefault="00B82DEF" w:rsidP="00C64E70">
      <w:pPr>
        <w:pStyle w:val="ZADEVA"/>
        <w:spacing w:line="260" w:lineRule="exact"/>
        <w:jc w:val="both"/>
        <w:rPr>
          <w:lang w:val="sl-SI"/>
        </w:rPr>
      </w:pPr>
    </w:p>
    <w:p w14:paraId="677013E5" w14:textId="62B5C749" w:rsidR="00B82DEF" w:rsidRPr="00C64E70" w:rsidRDefault="005C2972" w:rsidP="00C64E70">
      <w:pPr>
        <w:pStyle w:val="ZADEVA"/>
        <w:spacing w:line="260" w:lineRule="exact"/>
        <w:jc w:val="both"/>
        <w:rPr>
          <w:rFonts w:cs="Arial"/>
          <w:szCs w:val="20"/>
          <w:lang w:val="sl-SI"/>
        </w:rPr>
      </w:pPr>
      <w:r>
        <w:rPr>
          <w:rFonts w:cs="Arial"/>
          <w:szCs w:val="20"/>
          <w:lang w:val="sl-SI"/>
        </w:rPr>
        <w:t>Pojasnilo FURS, št. 4234-30</w:t>
      </w:r>
      <w:r w:rsidR="00B82DEF">
        <w:rPr>
          <w:rFonts w:cs="Arial"/>
          <w:szCs w:val="20"/>
          <w:lang w:val="sl-SI"/>
        </w:rPr>
        <w:t>474/2018-2 z dne 31.08.2018</w:t>
      </w:r>
      <w:r>
        <w:rPr>
          <w:rFonts w:cs="Arial"/>
          <w:szCs w:val="20"/>
          <w:lang w:val="sl-SI"/>
        </w:rPr>
        <w:t xml:space="preserve"> ***</w:t>
      </w:r>
    </w:p>
    <w:p w14:paraId="2A01D420" w14:textId="77777777" w:rsidR="00C64E70" w:rsidRPr="00C64E70" w:rsidRDefault="00C64E70" w:rsidP="00C64E70">
      <w:pPr>
        <w:spacing w:line="260" w:lineRule="exact"/>
        <w:jc w:val="both"/>
        <w:rPr>
          <w:rFonts w:cs="Arial"/>
          <w:szCs w:val="20"/>
          <w:lang w:val="sl-SI"/>
        </w:rPr>
      </w:pPr>
    </w:p>
    <w:p w14:paraId="62DE0AC4" w14:textId="5960DC39" w:rsidR="00EF60EA" w:rsidRDefault="00EF60EA" w:rsidP="00EF60EA">
      <w:pPr>
        <w:tabs>
          <w:tab w:val="left" w:pos="708"/>
        </w:tabs>
        <w:jc w:val="both"/>
        <w:rPr>
          <w:szCs w:val="20"/>
          <w:lang w:val="sl-SI" w:eastAsia="sl-SI"/>
        </w:rPr>
      </w:pPr>
      <w:r>
        <w:rPr>
          <w:szCs w:val="20"/>
          <w:lang w:val="sl-SI" w:eastAsia="sl-SI"/>
        </w:rPr>
        <w:t>V zvezi z novim preskusnim postopkom za merjenje emisij CO2 motornih vozil in posledično vplivom na odmero davka na motorna vozila, v nadaljevanju posredujemo pojasnilo.</w:t>
      </w:r>
    </w:p>
    <w:p w14:paraId="7B4FFF27" w14:textId="77777777" w:rsidR="00EF60EA" w:rsidRDefault="00EF60EA" w:rsidP="00EF60EA">
      <w:pPr>
        <w:tabs>
          <w:tab w:val="left" w:pos="708"/>
        </w:tabs>
        <w:jc w:val="both"/>
        <w:rPr>
          <w:szCs w:val="20"/>
          <w:lang w:val="sl-SI" w:eastAsia="sl-SI"/>
        </w:rPr>
      </w:pPr>
    </w:p>
    <w:p w14:paraId="46FC8855" w14:textId="77777777" w:rsidR="00EF60EA" w:rsidRDefault="00EF60EA" w:rsidP="00EF60EA">
      <w:pPr>
        <w:tabs>
          <w:tab w:val="left" w:pos="708"/>
        </w:tabs>
        <w:jc w:val="both"/>
        <w:rPr>
          <w:sz w:val="19"/>
          <w:szCs w:val="19"/>
          <w:lang w:val="sl-SI"/>
        </w:rPr>
      </w:pPr>
      <w:r w:rsidRPr="00A2404A">
        <w:rPr>
          <w:szCs w:val="20"/>
          <w:lang w:val="sl-SI" w:eastAsia="sl-SI"/>
        </w:rPr>
        <w:t>V skladu z Uredbo Komisije (EU) 2017</w:t>
      </w:r>
      <w:r w:rsidRPr="00F177F6">
        <w:rPr>
          <w:rFonts w:cs="Arial"/>
          <w:szCs w:val="20"/>
          <w:lang w:val="sl-SI"/>
        </w:rPr>
        <w:t>/1151</w:t>
      </w:r>
      <w:r>
        <w:rPr>
          <w:rStyle w:val="Sprotnaopomba-sklic"/>
          <w:rFonts w:cs="Arial"/>
          <w:szCs w:val="20"/>
          <w:lang w:val="sl-SI"/>
        </w:rPr>
        <w:footnoteReference w:id="1"/>
      </w:r>
      <w:r w:rsidRPr="00F177F6">
        <w:rPr>
          <w:rFonts w:cs="Arial"/>
          <w:szCs w:val="20"/>
          <w:lang w:val="sl-SI"/>
        </w:rPr>
        <w:t xml:space="preserve"> je </w:t>
      </w:r>
      <w:r w:rsidRPr="00A2404A">
        <w:rPr>
          <w:szCs w:val="20"/>
          <w:lang w:val="sl-SI" w:eastAsia="sl-SI"/>
        </w:rPr>
        <w:t xml:space="preserve">bil uveden nov regulativni preskusni postopek za merjenje emisij CO2 in porabe goriva pri lahkih vozilih, t. i. globalno usklajen preskusni postopek za lahka vozila (WLTP - </w:t>
      </w:r>
      <w:proofErr w:type="spellStart"/>
      <w:r w:rsidRPr="00A2404A">
        <w:rPr>
          <w:szCs w:val="20"/>
          <w:lang w:val="sl-SI" w:eastAsia="sl-SI"/>
        </w:rPr>
        <w:t>Worldwide</w:t>
      </w:r>
      <w:proofErr w:type="spellEnd"/>
      <w:r w:rsidRPr="00A2404A">
        <w:rPr>
          <w:szCs w:val="20"/>
          <w:lang w:val="sl-SI" w:eastAsia="sl-SI"/>
        </w:rPr>
        <w:t xml:space="preserve"> </w:t>
      </w:r>
      <w:proofErr w:type="spellStart"/>
      <w:r w:rsidRPr="00A2404A">
        <w:rPr>
          <w:szCs w:val="20"/>
          <w:lang w:val="sl-SI" w:eastAsia="sl-SI"/>
        </w:rPr>
        <w:t>Harmonised</w:t>
      </w:r>
      <w:proofErr w:type="spellEnd"/>
      <w:r w:rsidRPr="00A2404A">
        <w:rPr>
          <w:szCs w:val="20"/>
          <w:lang w:val="sl-SI" w:eastAsia="sl-SI"/>
        </w:rPr>
        <w:t xml:space="preserve"> </w:t>
      </w:r>
      <w:proofErr w:type="spellStart"/>
      <w:r w:rsidRPr="00A2404A">
        <w:rPr>
          <w:szCs w:val="20"/>
          <w:lang w:val="sl-SI" w:eastAsia="sl-SI"/>
        </w:rPr>
        <w:t>Light</w:t>
      </w:r>
      <w:proofErr w:type="spellEnd"/>
      <w:r w:rsidRPr="00A2404A">
        <w:rPr>
          <w:szCs w:val="20"/>
          <w:lang w:val="sl-SI" w:eastAsia="sl-SI"/>
        </w:rPr>
        <w:t xml:space="preserve"> </w:t>
      </w:r>
      <w:proofErr w:type="spellStart"/>
      <w:r w:rsidRPr="00A2404A">
        <w:rPr>
          <w:szCs w:val="20"/>
          <w:lang w:val="sl-SI" w:eastAsia="sl-SI"/>
        </w:rPr>
        <w:t>Vehicle</w:t>
      </w:r>
      <w:proofErr w:type="spellEnd"/>
      <w:r w:rsidRPr="00A2404A">
        <w:rPr>
          <w:szCs w:val="20"/>
          <w:lang w:val="sl-SI" w:eastAsia="sl-SI"/>
        </w:rPr>
        <w:t xml:space="preserve"> Test Procedure). Nov regulativni preskusni postopek WLTP nadomešča novi evropski vozni cikel (NEDC - New </w:t>
      </w:r>
      <w:proofErr w:type="spellStart"/>
      <w:r w:rsidRPr="00A2404A">
        <w:rPr>
          <w:szCs w:val="20"/>
          <w:lang w:val="sl-SI" w:eastAsia="sl-SI"/>
        </w:rPr>
        <w:t>European</w:t>
      </w:r>
      <w:proofErr w:type="spellEnd"/>
      <w:r w:rsidRPr="00A2404A">
        <w:rPr>
          <w:szCs w:val="20"/>
          <w:lang w:val="sl-SI" w:eastAsia="sl-SI"/>
        </w:rPr>
        <w:t xml:space="preserve"> </w:t>
      </w:r>
      <w:proofErr w:type="spellStart"/>
      <w:r w:rsidRPr="00A2404A">
        <w:rPr>
          <w:szCs w:val="20"/>
          <w:lang w:val="sl-SI" w:eastAsia="sl-SI"/>
        </w:rPr>
        <w:t>Driving</w:t>
      </w:r>
      <w:proofErr w:type="spellEnd"/>
      <w:r w:rsidRPr="00A2404A">
        <w:rPr>
          <w:szCs w:val="20"/>
          <w:lang w:val="sl-SI" w:eastAsia="sl-SI"/>
        </w:rPr>
        <w:t xml:space="preserve"> </w:t>
      </w:r>
      <w:proofErr w:type="spellStart"/>
      <w:r w:rsidRPr="00A2404A">
        <w:rPr>
          <w:szCs w:val="20"/>
          <w:lang w:val="sl-SI" w:eastAsia="sl-SI"/>
        </w:rPr>
        <w:t>Cycle</w:t>
      </w:r>
      <w:proofErr w:type="spellEnd"/>
      <w:r w:rsidRPr="00A2404A">
        <w:rPr>
          <w:szCs w:val="20"/>
          <w:lang w:val="sl-SI" w:eastAsia="sl-SI"/>
        </w:rPr>
        <w:t>), ki se je trenutno uporabljal v skladu z Uredbo Komisije (ES) št. 692</w:t>
      </w:r>
      <w:r>
        <w:rPr>
          <w:sz w:val="19"/>
          <w:szCs w:val="19"/>
          <w:lang w:val="sl-SI"/>
        </w:rPr>
        <w:t>/2008</w:t>
      </w:r>
      <w:r>
        <w:rPr>
          <w:rStyle w:val="Sprotnaopomba-sklic"/>
          <w:sz w:val="19"/>
          <w:szCs w:val="19"/>
          <w:lang w:val="sl-SI"/>
        </w:rPr>
        <w:footnoteReference w:id="2"/>
      </w:r>
      <w:r>
        <w:rPr>
          <w:sz w:val="19"/>
          <w:szCs w:val="19"/>
          <w:lang w:val="sl-SI"/>
        </w:rPr>
        <w:t xml:space="preserve">. </w:t>
      </w:r>
      <w:r w:rsidRPr="00A2404A">
        <w:rPr>
          <w:szCs w:val="20"/>
          <w:lang w:val="sl-SI" w:eastAsia="sl-SI"/>
        </w:rPr>
        <w:t>S preskusnim postopkom WLTP naj bi se določile vrednosti emisij CO2 in porabe goriv, ki bodo bolj reprezentativne za dejanske razmere, saj se je ugotovilo, da podatki o porabi goriva in emisijah CO2 vozil, preskušanih v skladu z NEDC, niso več ustrezni in ne odsevajo resničnih emisij. Poleg realnejših podatkov o porabi goriva in emisijah CO2 preskusni postopek WLTP oblikuje tudi svetovni okvir za preskušanje vozil, ki vodi k boljši mednarodni usklajenosti preskusnih zahtev.</w:t>
      </w:r>
      <w:r w:rsidRPr="008A4A79">
        <w:rPr>
          <w:sz w:val="19"/>
          <w:szCs w:val="19"/>
          <w:lang w:val="sl-SI"/>
        </w:rPr>
        <w:t xml:space="preserve"> </w:t>
      </w:r>
    </w:p>
    <w:p w14:paraId="610706CF" w14:textId="77777777" w:rsidR="00EF60EA" w:rsidRDefault="00EF60EA" w:rsidP="00EF60EA">
      <w:pPr>
        <w:tabs>
          <w:tab w:val="left" w:pos="708"/>
        </w:tabs>
        <w:jc w:val="both"/>
        <w:rPr>
          <w:sz w:val="19"/>
          <w:szCs w:val="19"/>
          <w:lang w:val="sl-SI"/>
        </w:rPr>
      </w:pPr>
    </w:p>
    <w:p w14:paraId="659D1C8C" w14:textId="77777777" w:rsidR="00EF60EA" w:rsidRDefault="00EF60EA" w:rsidP="00EF60EA">
      <w:pPr>
        <w:tabs>
          <w:tab w:val="left" w:pos="708"/>
        </w:tabs>
        <w:jc w:val="both"/>
        <w:rPr>
          <w:szCs w:val="20"/>
          <w:lang w:val="sl-SI" w:eastAsia="sl-SI"/>
        </w:rPr>
      </w:pPr>
      <w:r w:rsidRPr="00A2404A">
        <w:rPr>
          <w:szCs w:val="20"/>
          <w:lang w:val="sl-SI" w:eastAsia="sl-SI"/>
        </w:rPr>
        <w:t>Preskusni postopek WLTP se uvaja postopno, in sicer od 1. 9. 2017 za nove tipe vozil, od 1. 9. 2018 pa za vsa nova vozila. Od 1. 9. 2019, ko bodo opuščena tudi vozila iz zaključka serije, ki so homologirana in izmerjena v skladu s preskusnim postopkom NEDC</w:t>
      </w:r>
      <w:r>
        <w:rPr>
          <w:rStyle w:val="Sprotnaopomba-sklic"/>
          <w:szCs w:val="20"/>
          <w:lang w:val="sl-SI" w:eastAsia="sl-SI"/>
        </w:rPr>
        <w:footnoteReference w:id="3"/>
      </w:r>
      <w:r w:rsidRPr="00A2404A">
        <w:rPr>
          <w:szCs w:val="20"/>
          <w:lang w:val="sl-SI" w:eastAsia="sl-SI"/>
        </w:rPr>
        <w:t xml:space="preserve">, se bodo vsa nova osebna vozila, dana na trg Unije, preskušala v skladu z novim preskusnim postopkom WLTP. </w:t>
      </w:r>
    </w:p>
    <w:p w14:paraId="575D0F88" w14:textId="77777777" w:rsidR="00EF60EA" w:rsidRDefault="00EF60EA" w:rsidP="00EF60EA">
      <w:pPr>
        <w:tabs>
          <w:tab w:val="left" w:pos="708"/>
        </w:tabs>
        <w:jc w:val="both"/>
        <w:rPr>
          <w:szCs w:val="20"/>
          <w:lang w:val="sl-SI" w:eastAsia="sl-SI"/>
        </w:rPr>
      </w:pPr>
    </w:p>
    <w:p w14:paraId="2829CB18" w14:textId="77777777" w:rsidR="00EF60EA" w:rsidRDefault="00EF60EA" w:rsidP="00EF60EA">
      <w:pPr>
        <w:tabs>
          <w:tab w:val="left" w:pos="708"/>
        </w:tabs>
        <w:jc w:val="both"/>
        <w:rPr>
          <w:rFonts w:cs="Arial"/>
          <w:szCs w:val="20"/>
          <w:lang w:val="sl-SI"/>
        </w:rPr>
      </w:pPr>
      <w:r w:rsidRPr="00A2404A">
        <w:rPr>
          <w:szCs w:val="20"/>
          <w:lang w:val="sl-SI" w:eastAsia="sl-SI"/>
        </w:rPr>
        <w:t>Zaradi preskusnih pogojev, ki bolj ustrezajo dejanskim voznim pogojem, je poraba goriva in emisije CO2, izmerjene v skladu s postopkom WLTP, pogosto višja v primerjavi z vrednostmi, izmerjenimi s postopkom NEDC. Z namenom, da bi se upoštevala razlika v ravneh emisij CO2</w:t>
      </w:r>
      <w:r>
        <w:rPr>
          <w:szCs w:val="20"/>
          <w:lang w:val="sl-SI" w:eastAsia="sl-SI"/>
        </w:rPr>
        <w:t>,</w:t>
      </w:r>
      <w:r w:rsidRPr="00A2404A">
        <w:rPr>
          <w:szCs w:val="20"/>
          <w:lang w:val="sl-SI" w:eastAsia="sl-SI"/>
        </w:rPr>
        <w:t xml:space="preserve"> izmerjenih v skladu z obstoječim preskusnim postopkom NEDC oziroma novim preskusnim postopkom</w:t>
      </w:r>
      <w:r>
        <w:rPr>
          <w:rFonts w:cs="Arial"/>
          <w:szCs w:val="20"/>
          <w:lang w:val="sl-SI"/>
        </w:rPr>
        <w:t xml:space="preserve"> WLTP, se je z Izvedbeno uredbo Komisije (EU) 2017/1153</w:t>
      </w:r>
      <w:r>
        <w:rPr>
          <w:rStyle w:val="Sprotnaopomba-sklic"/>
          <w:rFonts w:cs="Arial"/>
          <w:szCs w:val="20"/>
          <w:lang w:val="sl-SI"/>
        </w:rPr>
        <w:footnoteReference w:id="4"/>
      </w:r>
      <w:r>
        <w:rPr>
          <w:rFonts w:cs="Arial"/>
          <w:szCs w:val="20"/>
          <w:lang w:val="sl-SI"/>
        </w:rPr>
        <w:t xml:space="preserve"> določil</w:t>
      </w:r>
      <w:r w:rsidRPr="00A2404A">
        <w:rPr>
          <w:szCs w:val="20"/>
          <w:lang w:val="sl-SI" w:eastAsia="sl-SI"/>
        </w:rPr>
        <w:t xml:space="preserve">a metodologija za korelacijo navedenih vrednosti, </w:t>
      </w:r>
      <w:r w:rsidRPr="00A2404A">
        <w:rPr>
          <w:szCs w:val="20"/>
          <w:lang w:val="sl-SI" w:eastAsia="sl-SI"/>
        </w:rPr>
        <w:lastRenderedPageBreak/>
        <w:t>da se bo lahko ugotovila skladnost proizvajalcev s cilji specifičnih emisij CO2 v skladu z Uredbo (ES)</w:t>
      </w:r>
      <w:r>
        <w:rPr>
          <w:rFonts w:cs="Arial"/>
          <w:szCs w:val="20"/>
          <w:lang w:val="sl-SI"/>
        </w:rPr>
        <w:t xml:space="preserve"> št. 443/2009</w:t>
      </w:r>
      <w:r>
        <w:rPr>
          <w:rStyle w:val="Sprotnaopomba-sklic"/>
          <w:rFonts w:cs="Arial"/>
          <w:szCs w:val="20"/>
          <w:lang w:val="sl-SI"/>
        </w:rPr>
        <w:footnoteReference w:id="5"/>
      </w:r>
      <w:r>
        <w:rPr>
          <w:rFonts w:cs="Arial"/>
          <w:szCs w:val="20"/>
          <w:lang w:val="sl-SI"/>
        </w:rPr>
        <w:t xml:space="preserve">. </w:t>
      </w:r>
      <w:r w:rsidRPr="00A2404A">
        <w:rPr>
          <w:szCs w:val="20"/>
          <w:lang w:val="sl-SI" w:eastAsia="sl-SI"/>
        </w:rPr>
        <w:t>Tako se bo določala referenčna vrednost emisij CO2 na podlagi NEDC s simulacijami (</w:t>
      </w:r>
      <w:proofErr w:type="spellStart"/>
      <w:r w:rsidRPr="00A2404A">
        <w:rPr>
          <w:szCs w:val="20"/>
          <w:lang w:val="sl-SI" w:eastAsia="sl-SI"/>
        </w:rPr>
        <w:t>t.i</w:t>
      </w:r>
      <w:proofErr w:type="spellEnd"/>
      <w:r w:rsidRPr="00A2404A">
        <w:rPr>
          <w:szCs w:val="20"/>
          <w:lang w:val="sl-SI" w:eastAsia="sl-SI"/>
        </w:rPr>
        <w:t xml:space="preserve">. vrednost CO2 NEDC). Omenjena izvedbena uredba določa metodologijo za korelacijo emisij CO2, izmerjenih v skladu s preskusnim postopkom WLTP, z emisijami CO2, določenimi v skladu z Uredbo (ES) št. 692/2008, ki določa preskusni </w:t>
      </w:r>
      <w:r>
        <w:rPr>
          <w:rFonts w:cs="Arial"/>
          <w:szCs w:val="20"/>
          <w:lang w:val="sl-SI"/>
        </w:rPr>
        <w:t>postopek NEDC.</w:t>
      </w:r>
    </w:p>
    <w:p w14:paraId="666126C4" w14:textId="77777777" w:rsidR="00EF60EA" w:rsidRDefault="00EF60EA" w:rsidP="00EF60EA">
      <w:pPr>
        <w:tabs>
          <w:tab w:val="left" w:pos="708"/>
        </w:tabs>
        <w:jc w:val="both"/>
        <w:rPr>
          <w:rFonts w:cs="Arial"/>
          <w:szCs w:val="20"/>
          <w:lang w:val="sl-SI"/>
        </w:rPr>
      </w:pPr>
    </w:p>
    <w:p w14:paraId="38191F3F" w14:textId="0F2FA924" w:rsidR="00EF60EA" w:rsidRPr="00A2404A" w:rsidRDefault="00EF60EA" w:rsidP="00EF60EA">
      <w:pPr>
        <w:tabs>
          <w:tab w:val="left" w:pos="708"/>
        </w:tabs>
        <w:jc w:val="both"/>
        <w:rPr>
          <w:szCs w:val="20"/>
          <w:lang w:val="sl-SI" w:eastAsia="sl-SI"/>
        </w:rPr>
      </w:pPr>
      <w:r w:rsidRPr="00A2404A">
        <w:rPr>
          <w:szCs w:val="20"/>
          <w:lang w:val="sl-SI" w:eastAsia="sl-SI"/>
        </w:rPr>
        <w:t xml:space="preserve">Na podlagi navedenega </w:t>
      </w:r>
      <w:r>
        <w:rPr>
          <w:szCs w:val="20"/>
          <w:lang w:val="sl-SI" w:eastAsia="sl-SI"/>
        </w:rPr>
        <w:t xml:space="preserve">je </w:t>
      </w:r>
      <w:r w:rsidRPr="00A2404A">
        <w:rPr>
          <w:szCs w:val="20"/>
          <w:lang w:val="sl-SI" w:eastAsia="sl-SI"/>
        </w:rPr>
        <w:t xml:space="preserve">med postopnim uvajanjem preskusnega postopka WLTP </w:t>
      </w:r>
      <w:r>
        <w:rPr>
          <w:szCs w:val="20"/>
          <w:lang w:val="sl-SI" w:eastAsia="sl-SI"/>
        </w:rPr>
        <w:t xml:space="preserve">predviden v certifikatu </w:t>
      </w:r>
      <w:r w:rsidRPr="00A2404A">
        <w:rPr>
          <w:szCs w:val="20"/>
          <w:lang w:val="sl-SI" w:eastAsia="sl-SI"/>
        </w:rPr>
        <w:t>o skladnosti (</w:t>
      </w:r>
      <w:proofErr w:type="spellStart"/>
      <w:r w:rsidRPr="00A2404A">
        <w:rPr>
          <w:szCs w:val="20"/>
          <w:lang w:val="sl-SI" w:eastAsia="sl-SI"/>
        </w:rPr>
        <w:t>t.i</w:t>
      </w:r>
      <w:proofErr w:type="spellEnd"/>
      <w:r w:rsidRPr="00A2404A">
        <w:rPr>
          <w:szCs w:val="20"/>
          <w:lang w:val="sl-SI" w:eastAsia="sl-SI"/>
        </w:rPr>
        <w:t xml:space="preserve">. </w:t>
      </w:r>
      <w:r w:rsidRPr="00D309AE">
        <w:rPr>
          <w:szCs w:val="20"/>
          <w:lang w:val="en-GB" w:eastAsia="sl-SI"/>
        </w:rPr>
        <w:t>Certificate of Conformity</w:t>
      </w:r>
      <w:r>
        <w:rPr>
          <w:szCs w:val="20"/>
          <w:lang w:val="sl-SI" w:eastAsia="sl-SI"/>
        </w:rPr>
        <w:t xml:space="preserve"> - </w:t>
      </w:r>
      <w:r w:rsidRPr="00A2404A">
        <w:rPr>
          <w:szCs w:val="20"/>
          <w:lang w:val="sl-SI" w:eastAsia="sl-SI"/>
        </w:rPr>
        <w:t xml:space="preserve">COC dokument) </w:t>
      </w:r>
      <w:r>
        <w:rPr>
          <w:szCs w:val="20"/>
          <w:lang w:val="sl-SI" w:eastAsia="sl-SI"/>
        </w:rPr>
        <w:t xml:space="preserve">podatek o </w:t>
      </w:r>
      <w:r w:rsidRPr="00A2404A">
        <w:rPr>
          <w:szCs w:val="20"/>
          <w:lang w:val="sl-SI" w:eastAsia="sl-SI"/>
        </w:rPr>
        <w:t>vrednosti porabe goriva in emisij CO2, homologirane in izmerjene v skladu s preskusnim postopkom NEDC in/</w:t>
      </w:r>
      <w:proofErr w:type="gramStart"/>
      <w:r w:rsidRPr="00A2404A">
        <w:rPr>
          <w:szCs w:val="20"/>
          <w:lang w:val="sl-SI" w:eastAsia="sl-SI"/>
        </w:rPr>
        <w:t>ali</w:t>
      </w:r>
      <w:proofErr w:type="gramEnd"/>
      <w:r w:rsidRPr="00A2404A">
        <w:rPr>
          <w:szCs w:val="20"/>
          <w:lang w:val="sl-SI" w:eastAsia="sl-SI"/>
        </w:rPr>
        <w:t xml:space="preserve"> WLTP. Za nova osebna vozila, homologirana v skladu s preskusnim postopkom WLTP, bodo tako v COC dokumentu navedena dva podatka </w:t>
      </w:r>
      <w:r>
        <w:rPr>
          <w:szCs w:val="20"/>
          <w:lang w:val="sl-SI" w:eastAsia="sl-SI"/>
        </w:rPr>
        <w:t xml:space="preserve">o </w:t>
      </w:r>
      <w:r w:rsidRPr="00A2404A">
        <w:rPr>
          <w:szCs w:val="20"/>
          <w:lang w:val="sl-SI" w:eastAsia="sl-SI"/>
        </w:rPr>
        <w:t>emisij</w:t>
      </w:r>
      <w:r>
        <w:rPr>
          <w:szCs w:val="20"/>
          <w:lang w:val="sl-SI" w:eastAsia="sl-SI"/>
        </w:rPr>
        <w:t>ah</w:t>
      </w:r>
      <w:r w:rsidRPr="00A2404A">
        <w:rPr>
          <w:szCs w:val="20"/>
          <w:lang w:val="sl-SI" w:eastAsia="sl-SI"/>
        </w:rPr>
        <w:t xml:space="preserve"> CO2, in sicer: vrednost CO2 WLTP in vrednost CO2 NEDC. Za rabljena vozila </w:t>
      </w:r>
      <w:r>
        <w:rPr>
          <w:szCs w:val="20"/>
          <w:lang w:val="sl-SI" w:eastAsia="sl-SI"/>
        </w:rPr>
        <w:t>se predvideva</w:t>
      </w:r>
      <w:r w:rsidRPr="00A2404A">
        <w:rPr>
          <w:szCs w:val="20"/>
          <w:lang w:val="sl-SI" w:eastAsia="sl-SI"/>
        </w:rPr>
        <w:t xml:space="preserve"> samo en podatek, in sicer izmerjena vrednost CO2 NEDC. </w:t>
      </w:r>
      <w:r>
        <w:rPr>
          <w:szCs w:val="20"/>
          <w:lang w:val="sl-SI" w:eastAsia="sl-SI"/>
        </w:rPr>
        <w:t xml:space="preserve">Navedeni </w:t>
      </w:r>
      <w:r w:rsidRPr="00A2404A">
        <w:rPr>
          <w:szCs w:val="20"/>
          <w:lang w:val="sl-SI" w:eastAsia="sl-SI"/>
        </w:rPr>
        <w:t xml:space="preserve">podatki </w:t>
      </w:r>
      <w:r>
        <w:rPr>
          <w:szCs w:val="20"/>
          <w:lang w:val="sl-SI" w:eastAsia="sl-SI"/>
        </w:rPr>
        <w:t xml:space="preserve">o </w:t>
      </w:r>
      <w:r w:rsidRPr="00A2404A">
        <w:rPr>
          <w:szCs w:val="20"/>
          <w:lang w:val="sl-SI" w:eastAsia="sl-SI"/>
        </w:rPr>
        <w:t>emisij</w:t>
      </w:r>
      <w:r>
        <w:rPr>
          <w:szCs w:val="20"/>
          <w:lang w:val="sl-SI" w:eastAsia="sl-SI"/>
        </w:rPr>
        <w:t>ah</w:t>
      </w:r>
      <w:r w:rsidRPr="00A2404A">
        <w:rPr>
          <w:szCs w:val="20"/>
          <w:lang w:val="sl-SI" w:eastAsia="sl-SI"/>
        </w:rPr>
        <w:t xml:space="preserve"> CO2 v COC dokumentu</w:t>
      </w:r>
      <w:r>
        <w:rPr>
          <w:szCs w:val="20"/>
          <w:lang w:val="sl-SI" w:eastAsia="sl-SI"/>
        </w:rPr>
        <w:t xml:space="preserve"> se bodo </w:t>
      </w:r>
      <w:r w:rsidRPr="00A2404A">
        <w:rPr>
          <w:szCs w:val="20"/>
          <w:lang w:val="sl-SI" w:eastAsia="sl-SI"/>
        </w:rPr>
        <w:t xml:space="preserve">identično prepisovali v potrdilo o skladnosti oz. v izjavo o emisijski ustreznosti vozil. </w:t>
      </w:r>
      <w:r>
        <w:rPr>
          <w:szCs w:val="20"/>
          <w:lang w:val="sl-SI" w:eastAsia="sl-SI"/>
        </w:rPr>
        <w:t>V</w:t>
      </w:r>
      <w:r w:rsidRPr="004678F8">
        <w:rPr>
          <w:szCs w:val="20"/>
          <w:lang w:val="sl-SI" w:eastAsia="sl-SI"/>
        </w:rPr>
        <w:t xml:space="preserve"> polje CO2 je sedaj možno vpisati obe vrednosti NEDC in WLTP, ločeni s poševnico ('/'). Vrednost pred poševnico pomeni vrednost CO2, izmerjeno po </w:t>
      </w:r>
      <w:r>
        <w:rPr>
          <w:szCs w:val="20"/>
          <w:lang w:val="sl-SI" w:eastAsia="sl-SI"/>
        </w:rPr>
        <w:t xml:space="preserve">preskusnem postopku </w:t>
      </w:r>
      <w:r w:rsidRPr="004678F8">
        <w:rPr>
          <w:szCs w:val="20"/>
          <w:lang w:val="sl-SI" w:eastAsia="sl-SI"/>
        </w:rPr>
        <w:t xml:space="preserve">NEDC, vrednost za poševnico pa vrednost CO2, izmerjeno po </w:t>
      </w:r>
      <w:r>
        <w:rPr>
          <w:szCs w:val="20"/>
          <w:lang w:val="sl-SI" w:eastAsia="sl-SI"/>
        </w:rPr>
        <w:t xml:space="preserve">preskusnem postopku </w:t>
      </w:r>
      <w:r w:rsidRPr="004678F8">
        <w:rPr>
          <w:szCs w:val="20"/>
          <w:lang w:val="sl-SI" w:eastAsia="sl-SI"/>
        </w:rPr>
        <w:t>WLTP. V obeh primerih se vpisuje podatek kombiniranih izpustov. V primeru, da je v to polje vpisan samo en podatek brez poševnice (v polju vpisana zgolj ena numerična vrednost), se smatra, da je vpisana vrednost emisije CO2 pridobljena po pr</w:t>
      </w:r>
      <w:r>
        <w:rPr>
          <w:szCs w:val="20"/>
          <w:lang w:val="sl-SI" w:eastAsia="sl-SI"/>
        </w:rPr>
        <w:t xml:space="preserve">eskusnem postopku </w:t>
      </w:r>
      <w:r w:rsidRPr="004678F8">
        <w:rPr>
          <w:szCs w:val="20"/>
          <w:lang w:val="sl-SI" w:eastAsia="sl-SI"/>
        </w:rPr>
        <w:t>NEDC.</w:t>
      </w:r>
      <w:r>
        <w:rPr>
          <w:szCs w:val="20"/>
          <w:lang w:val="sl-SI" w:eastAsia="sl-SI"/>
        </w:rPr>
        <w:t xml:space="preserve"> </w:t>
      </w:r>
      <w:r w:rsidR="00D06D72">
        <w:rPr>
          <w:szCs w:val="20"/>
          <w:lang w:val="sl-SI" w:eastAsia="sl-SI"/>
        </w:rPr>
        <w:t>Javna</w:t>
      </w:r>
      <w:r w:rsidRPr="00A2404A">
        <w:rPr>
          <w:szCs w:val="20"/>
          <w:lang w:val="sl-SI" w:eastAsia="sl-SI"/>
        </w:rPr>
        <w:t xml:space="preserve"> agencij</w:t>
      </w:r>
      <w:r w:rsidR="00D06D72">
        <w:rPr>
          <w:szCs w:val="20"/>
          <w:lang w:val="sl-SI" w:eastAsia="sl-SI"/>
        </w:rPr>
        <w:t>a</w:t>
      </w:r>
      <w:r w:rsidRPr="00A2404A">
        <w:rPr>
          <w:szCs w:val="20"/>
          <w:lang w:val="sl-SI" w:eastAsia="sl-SI"/>
        </w:rPr>
        <w:t xml:space="preserve"> RS za varnost prometa </w:t>
      </w:r>
      <w:r>
        <w:rPr>
          <w:szCs w:val="20"/>
          <w:lang w:val="sl-SI" w:eastAsia="sl-SI"/>
        </w:rPr>
        <w:t>je pojasn</w:t>
      </w:r>
      <w:r w:rsidR="00D06D72">
        <w:rPr>
          <w:szCs w:val="20"/>
          <w:lang w:val="sl-SI" w:eastAsia="sl-SI"/>
        </w:rPr>
        <w:t>ila</w:t>
      </w:r>
      <w:r w:rsidRPr="00A2404A">
        <w:rPr>
          <w:szCs w:val="20"/>
          <w:lang w:val="sl-SI" w:eastAsia="sl-SI"/>
        </w:rPr>
        <w:t xml:space="preserve">, da mora biti za konkretno vozilo podatek </w:t>
      </w:r>
      <w:r>
        <w:rPr>
          <w:szCs w:val="20"/>
          <w:lang w:val="sl-SI" w:eastAsia="sl-SI"/>
        </w:rPr>
        <w:t xml:space="preserve">o </w:t>
      </w:r>
      <w:r w:rsidRPr="00A2404A">
        <w:rPr>
          <w:szCs w:val="20"/>
          <w:lang w:val="sl-SI" w:eastAsia="sl-SI"/>
        </w:rPr>
        <w:t>emisij</w:t>
      </w:r>
      <w:r>
        <w:rPr>
          <w:szCs w:val="20"/>
          <w:lang w:val="sl-SI" w:eastAsia="sl-SI"/>
        </w:rPr>
        <w:t>ah</w:t>
      </w:r>
      <w:r w:rsidRPr="00A2404A">
        <w:rPr>
          <w:szCs w:val="20"/>
          <w:lang w:val="sl-SI" w:eastAsia="sl-SI"/>
        </w:rPr>
        <w:t xml:space="preserve"> CO2</w:t>
      </w:r>
      <w:r>
        <w:rPr>
          <w:szCs w:val="20"/>
          <w:lang w:val="sl-SI" w:eastAsia="sl-SI"/>
        </w:rPr>
        <w:t xml:space="preserve"> vozila</w:t>
      </w:r>
      <w:r w:rsidRPr="00A2404A">
        <w:rPr>
          <w:szCs w:val="20"/>
          <w:lang w:val="sl-SI" w:eastAsia="sl-SI"/>
        </w:rPr>
        <w:t xml:space="preserve"> določen</w:t>
      </w:r>
      <w:r>
        <w:rPr>
          <w:szCs w:val="20"/>
          <w:lang w:val="sl-SI" w:eastAsia="sl-SI"/>
        </w:rPr>
        <w:t xml:space="preserve"> </w:t>
      </w:r>
      <w:r w:rsidRPr="00A2404A">
        <w:rPr>
          <w:szCs w:val="20"/>
          <w:lang w:val="sl-SI" w:eastAsia="sl-SI"/>
        </w:rPr>
        <w:t xml:space="preserve">in ne </w:t>
      </w:r>
      <w:r>
        <w:rPr>
          <w:szCs w:val="20"/>
          <w:lang w:val="sl-SI" w:eastAsia="sl-SI"/>
        </w:rPr>
        <w:t xml:space="preserve">kot vrednost </w:t>
      </w:r>
      <w:r w:rsidRPr="00A2404A">
        <w:rPr>
          <w:szCs w:val="20"/>
          <w:lang w:val="sl-SI" w:eastAsia="sl-SI"/>
        </w:rPr>
        <w:t xml:space="preserve">v razponu </w:t>
      </w:r>
      <w:r>
        <w:rPr>
          <w:szCs w:val="20"/>
          <w:lang w:val="sl-SI" w:eastAsia="sl-SI"/>
        </w:rPr>
        <w:t>(</w:t>
      </w:r>
      <w:r w:rsidRPr="00A2404A">
        <w:rPr>
          <w:szCs w:val="20"/>
          <w:lang w:val="sl-SI" w:eastAsia="sl-SI"/>
        </w:rPr>
        <w:t>od do</w:t>
      </w:r>
      <w:r>
        <w:rPr>
          <w:szCs w:val="20"/>
          <w:lang w:val="sl-SI" w:eastAsia="sl-SI"/>
        </w:rPr>
        <w:t>)</w:t>
      </w:r>
      <w:r w:rsidRPr="00A2404A">
        <w:rPr>
          <w:szCs w:val="20"/>
          <w:lang w:val="sl-SI" w:eastAsia="sl-SI"/>
        </w:rPr>
        <w:t>.</w:t>
      </w:r>
    </w:p>
    <w:p w14:paraId="36D078E6" w14:textId="77777777" w:rsidR="00EF60EA" w:rsidRDefault="00EF60EA" w:rsidP="00EF60EA">
      <w:pPr>
        <w:tabs>
          <w:tab w:val="left" w:pos="708"/>
        </w:tabs>
        <w:jc w:val="both"/>
        <w:rPr>
          <w:rFonts w:cs="Arial"/>
          <w:szCs w:val="20"/>
          <w:lang w:val="sl-SI"/>
        </w:rPr>
      </w:pPr>
    </w:p>
    <w:p w14:paraId="76BACE31" w14:textId="6736C826" w:rsidR="00EF60EA" w:rsidRPr="00A2404A" w:rsidRDefault="00EF60EA" w:rsidP="00EF60EA">
      <w:pPr>
        <w:tabs>
          <w:tab w:val="left" w:pos="708"/>
        </w:tabs>
        <w:jc w:val="both"/>
        <w:rPr>
          <w:szCs w:val="20"/>
          <w:lang w:val="sl-SI" w:eastAsia="sl-SI"/>
        </w:rPr>
      </w:pPr>
      <w:r w:rsidRPr="00A2404A">
        <w:rPr>
          <w:szCs w:val="20"/>
          <w:lang w:val="sl-SI" w:eastAsia="sl-SI"/>
        </w:rPr>
        <w:t>Ker se je v letu 2010 z novelo Zakona o davku na motorno vozilo (</w:t>
      </w:r>
      <w:r>
        <w:rPr>
          <w:szCs w:val="20"/>
          <w:lang w:val="sl-SI" w:eastAsia="sl-SI"/>
        </w:rPr>
        <w:t xml:space="preserve">Uradni list RS, št. 9/10; </w:t>
      </w:r>
      <w:r w:rsidRPr="00A2404A">
        <w:rPr>
          <w:szCs w:val="20"/>
          <w:lang w:val="sl-SI" w:eastAsia="sl-SI"/>
        </w:rPr>
        <w:t xml:space="preserve">ZDMV-C) davčna stopnja vezala tudi na </w:t>
      </w:r>
      <w:proofErr w:type="spellStart"/>
      <w:r w:rsidRPr="00A2404A">
        <w:rPr>
          <w:szCs w:val="20"/>
          <w:lang w:val="sl-SI" w:eastAsia="sl-SI"/>
        </w:rPr>
        <w:t>okoljske</w:t>
      </w:r>
      <w:proofErr w:type="spellEnd"/>
      <w:r w:rsidRPr="00A2404A">
        <w:rPr>
          <w:szCs w:val="20"/>
          <w:lang w:val="sl-SI" w:eastAsia="sl-SI"/>
        </w:rPr>
        <w:t xml:space="preserve"> komponente </w:t>
      </w:r>
      <w:r>
        <w:rPr>
          <w:szCs w:val="20"/>
          <w:lang w:val="sl-SI" w:eastAsia="sl-SI"/>
        </w:rPr>
        <w:t xml:space="preserve">vozila </w:t>
      </w:r>
      <w:r w:rsidRPr="00A2404A">
        <w:rPr>
          <w:szCs w:val="20"/>
          <w:lang w:val="sl-SI" w:eastAsia="sl-SI"/>
        </w:rPr>
        <w:t xml:space="preserve">(npr. izpust CO2, </w:t>
      </w:r>
      <w:r>
        <w:rPr>
          <w:szCs w:val="20"/>
          <w:lang w:val="sl-SI" w:eastAsia="sl-SI"/>
        </w:rPr>
        <w:t>stopnja izpusta Euro</w:t>
      </w:r>
      <w:r w:rsidRPr="00A2404A">
        <w:rPr>
          <w:szCs w:val="20"/>
          <w:lang w:val="sl-SI" w:eastAsia="sl-SI"/>
        </w:rPr>
        <w:t>, izpust trd</w:t>
      </w:r>
      <w:r>
        <w:rPr>
          <w:szCs w:val="20"/>
          <w:lang w:val="sl-SI" w:eastAsia="sl-SI"/>
        </w:rPr>
        <w:t>n</w:t>
      </w:r>
      <w:r w:rsidRPr="00A2404A">
        <w:rPr>
          <w:szCs w:val="20"/>
          <w:lang w:val="sl-SI" w:eastAsia="sl-SI"/>
        </w:rPr>
        <w:t>ih delcev)</w:t>
      </w:r>
      <w:r>
        <w:rPr>
          <w:szCs w:val="20"/>
          <w:lang w:val="sl-SI" w:eastAsia="sl-SI"/>
        </w:rPr>
        <w:t xml:space="preserve">, </w:t>
      </w:r>
      <w:r w:rsidRPr="00A2404A">
        <w:rPr>
          <w:szCs w:val="20"/>
          <w:lang w:val="sl-SI" w:eastAsia="sl-SI"/>
        </w:rPr>
        <w:t>se pri odmeri davka na motorna vozila v skladu z določbami omenjenega zakona upoštevajo podatki o izpustih CO2 vozil, ki so za posamezno vozilo razvidni iz izjave o emisijski ustreznosti vozil oz. potrdila o skladnosti</w:t>
      </w:r>
      <w:r>
        <w:rPr>
          <w:szCs w:val="20"/>
          <w:lang w:val="sl-SI" w:eastAsia="sl-SI"/>
        </w:rPr>
        <w:t xml:space="preserve">. </w:t>
      </w:r>
    </w:p>
    <w:p w14:paraId="7785284E" w14:textId="77777777" w:rsidR="00EF60EA" w:rsidRPr="00A2404A" w:rsidRDefault="00EF60EA" w:rsidP="00EF60EA">
      <w:pPr>
        <w:tabs>
          <w:tab w:val="left" w:pos="708"/>
        </w:tabs>
        <w:jc w:val="both"/>
        <w:rPr>
          <w:szCs w:val="20"/>
          <w:lang w:val="sl-SI" w:eastAsia="sl-SI"/>
        </w:rPr>
      </w:pPr>
    </w:p>
    <w:p w14:paraId="4A6837F0" w14:textId="77777777" w:rsidR="00EF60EA" w:rsidRPr="00A2404A" w:rsidRDefault="00EF60EA" w:rsidP="00EF60EA">
      <w:pPr>
        <w:tabs>
          <w:tab w:val="left" w:pos="708"/>
        </w:tabs>
        <w:jc w:val="both"/>
        <w:rPr>
          <w:szCs w:val="20"/>
          <w:lang w:val="sl-SI" w:eastAsia="sl-SI"/>
        </w:rPr>
      </w:pPr>
      <w:r w:rsidRPr="00A2404A">
        <w:rPr>
          <w:szCs w:val="20"/>
          <w:lang w:val="sl-SI" w:eastAsia="sl-SI"/>
        </w:rPr>
        <w:t>Glede na to, da</w:t>
      </w:r>
      <w:r>
        <w:rPr>
          <w:szCs w:val="20"/>
          <w:lang w:val="sl-SI" w:eastAsia="sl-SI"/>
        </w:rPr>
        <w:t xml:space="preserve"> se pri določitvi stopnje davka na motorna vozila, v skladu z</w:t>
      </w:r>
      <w:r w:rsidRPr="00A2404A">
        <w:rPr>
          <w:szCs w:val="20"/>
          <w:lang w:val="sl-SI" w:eastAsia="sl-SI"/>
        </w:rPr>
        <w:t xml:space="preserve"> Zakon</w:t>
      </w:r>
      <w:r>
        <w:rPr>
          <w:szCs w:val="20"/>
          <w:lang w:val="sl-SI" w:eastAsia="sl-SI"/>
        </w:rPr>
        <w:t>om</w:t>
      </w:r>
      <w:r w:rsidRPr="00A2404A">
        <w:rPr>
          <w:szCs w:val="20"/>
          <w:lang w:val="sl-SI" w:eastAsia="sl-SI"/>
        </w:rPr>
        <w:t xml:space="preserve"> o davku na motorna vozila</w:t>
      </w:r>
      <w:r>
        <w:rPr>
          <w:szCs w:val="20"/>
          <w:lang w:val="sl-SI" w:eastAsia="sl-SI"/>
        </w:rPr>
        <w:t>, upošteva</w:t>
      </w:r>
      <w:r w:rsidRPr="00A2404A">
        <w:rPr>
          <w:szCs w:val="20"/>
          <w:lang w:val="sl-SI" w:eastAsia="sl-SI"/>
        </w:rPr>
        <w:t xml:space="preserve"> izpust CO2</w:t>
      </w:r>
      <w:r>
        <w:rPr>
          <w:szCs w:val="20"/>
          <w:lang w:val="sl-SI" w:eastAsia="sl-SI"/>
        </w:rPr>
        <w:t xml:space="preserve"> motornega vozila</w:t>
      </w:r>
      <w:r w:rsidRPr="00A2404A">
        <w:rPr>
          <w:szCs w:val="20"/>
          <w:lang w:val="sl-SI" w:eastAsia="sl-SI"/>
        </w:rPr>
        <w:t xml:space="preserve">, se v primeru, ko </w:t>
      </w:r>
      <w:r>
        <w:rPr>
          <w:szCs w:val="20"/>
          <w:lang w:val="sl-SI" w:eastAsia="sl-SI"/>
        </w:rPr>
        <w:t>je</w:t>
      </w:r>
      <w:r w:rsidRPr="00A2404A">
        <w:rPr>
          <w:szCs w:val="20"/>
          <w:lang w:val="sl-SI" w:eastAsia="sl-SI"/>
        </w:rPr>
        <w:t xml:space="preserve"> v potrdilu o skladnosti oziroma v izjavi o emisijski ustreznosti vozila </w:t>
      </w:r>
      <w:r>
        <w:rPr>
          <w:szCs w:val="20"/>
          <w:lang w:val="sl-SI" w:eastAsia="sl-SI"/>
        </w:rPr>
        <w:t>navedena tako vrednost CO2 WLTP kot tudi vrednost CO2 NEDC</w:t>
      </w:r>
      <w:r w:rsidRPr="00A2404A">
        <w:rPr>
          <w:szCs w:val="20"/>
          <w:lang w:val="sl-SI" w:eastAsia="sl-SI"/>
        </w:rPr>
        <w:t>, za</w:t>
      </w:r>
      <w:r>
        <w:rPr>
          <w:szCs w:val="20"/>
          <w:lang w:val="sl-SI" w:eastAsia="sl-SI"/>
        </w:rPr>
        <w:t xml:space="preserve"> namen</w:t>
      </w:r>
      <w:r w:rsidRPr="00A2404A">
        <w:rPr>
          <w:szCs w:val="20"/>
          <w:lang w:val="sl-SI" w:eastAsia="sl-SI"/>
        </w:rPr>
        <w:t xml:space="preserve"> odmer</w:t>
      </w:r>
      <w:r>
        <w:rPr>
          <w:szCs w:val="20"/>
          <w:lang w:val="sl-SI" w:eastAsia="sl-SI"/>
        </w:rPr>
        <w:t>e</w:t>
      </w:r>
      <w:r w:rsidRPr="00A2404A">
        <w:rPr>
          <w:szCs w:val="20"/>
          <w:lang w:val="sl-SI" w:eastAsia="sl-SI"/>
        </w:rPr>
        <w:t xml:space="preserve"> </w:t>
      </w:r>
      <w:r>
        <w:rPr>
          <w:szCs w:val="20"/>
          <w:lang w:val="sl-SI" w:eastAsia="sl-SI"/>
        </w:rPr>
        <w:t>davka na motorna vozila</w:t>
      </w:r>
      <w:r w:rsidRPr="00A2404A">
        <w:rPr>
          <w:szCs w:val="20"/>
          <w:lang w:val="sl-SI" w:eastAsia="sl-SI"/>
        </w:rPr>
        <w:t xml:space="preserve"> upošteva podatek o vrednosti CO2 NEDC. </w:t>
      </w:r>
    </w:p>
    <w:p w14:paraId="07F9635A" w14:textId="77777777" w:rsidR="00FB2EE9" w:rsidRDefault="00FB2EE9" w:rsidP="00FB2EE9">
      <w:pPr>
        <w:pStyle w:val="podpisi"/>
        <w:tabs>
          <w:tab w:val="clear" w:pos="3402"/>
          <w:tab w:val="center" w:pos="6237"/>
        </w:tabs>
        <w:rPr>
          <w:szCs w:val="20"/>
          <w:lang w:val="sl-SI" w:eastAsia="sl-SI"/>
        </w:rPr>
      </w:pPr>
      <w:r>
        <w:rPr>
          <w:szCs w:val="20"/>
          <w:lang w:val="sl-SI" w:eastAsia="sl-SI"/>
        </w:rPr>
        <w:tab/>
      </w:r>
    </w:p>
    <w:p w14:paraId="15E725C9" w14:textId="77777777" w:rsidR="00FB2EE9" w:rsidRDefault="00FB2EE9" w:rsidP="00FB2EE9">
      <w:pPr>
        <w:pStyle w:val="podpisi"/>
        <w:tabs>
          <w:tab w:val="clear" w:pos="3402"/>
          <w:tab w:val="center" w:pos="6237"/>
        </w:tabs>
        <w:rPr>
          <w:szCs w:val="20"/>
          <w:lang w:val="sl-SI" w:eastAsia="sl-SI"/>
        </w:rPr>
      </w:pPr>
    </w:p>
    <w:p w14:paraId="23E976FD" w14:textId="77777777" w:rsidR="005C2972" w:rsidRDefault="005C2972" w:rsidP="00FB2EE9">
      <w:pPr>
        <w:pStyle w:val="podpisi"/>
        <w:tabs>
          <w:tab w:val="clear" w:pos="3402"/>
          <w:tab w:val="center" w:pos="6237"/>
        </w:tabs>
        <w:rPr>
          <w:szCs w:val="20"/>
          <w:lang w:val="sl-SI" w:eastAsia="sl-SI"/>
        </w:rPr>
      </w:pPr>
    </w:p>
    <w:p w14:paraId="4E869310" w14:textId="77777777" w:rsidR="005C2972" w:rsidRDefault="005C2972" w:rsidP="00FB2EE9">
      <w:pPr>
        <w:pStyle w:val="podpisi"/>
        <w:tabs>
          <w:tab w:val="clear" w:pos="3402"/>
          <w:tab w:val="center" w:pos="6237"/>
        </w:tabs>
        <w:rPr>
          <w:szCs w:val="20"/>
          <w:lang w:val="sl-SI" w:eastAsia="sl-SI"/>
        </w:rPr>
      </w:pPr>
    </w:p>
    <w:p w14:paraId="4C602DF0" w14:textId="2AA79C24" w:rsidR="00FB2EE9" w:rsidRPr="00BC2517" w:rsidRDefault="005C2972" w:rsidP="00A22992">
      <w:pPr>
        <w:pStyle w:val="podpisi"/>
        <w:tabs>
          <w:tab w:val="clear" w:pos="3402"/>
          <w:tab w:val="center" w:pos="6237"/>
        </w:tabs>
        <w:rPr>
          <w:lang w:val="sl-SI"/>
        </w:rPr>
      </w:pPr>
      <w:r>
        <w:rPr>
          <w:szCs w:val="20"/>
          <w:lang w:val="sl-SI" w:eastAsia="sl-SI"/>
        </w:rPr>
        <w:t xml:space="preserve">***Opomba: do 8.8.2019 je bilo pojasnilo objavljeno pod št. </w:t>
      </w:r>
      <w:r>
        <w:rPr>
          <w:rFonts w:cs="Arial"/>
          <w:szCs w:val="20"/>
          <w:lang w:val="sl-SI"/>
        </w:rPr>
        <w:t>4234-31474/2018-2</w:t>
      </w:r>
      <w:bookmarkStart w:id="2" w:name="_GoBack"/>
      <w:bookmarkEnd w:id="2"/>
      <w:r w:rsidR="00FB2EE9">
        <w:rPr>
          <w:szCs w:val="20"/>
          <w:lang w:val="sl-SI" w:eastAsia="sl-SI"/>
        </w:rPr>
        <w:tab/>
      </w:r>
    </w:p>
    <w:p w14:paraId="1B36D8EB" w14:textId="6879B08F" w:rsidR="00EF60EA" w:rsidRPr="00A2404A" w:rsidRDefault="00EF60EA" w:rsidP="00EF60EA">
      <w:pPr>
        <w:tabs>
          <w:tab w:val="left" w:pos="708"/>
        </w:tabs>
        <w:jc w:val="both"/>
        <w:rPr>
          <w:szCs w:val="20"/>
          <w:lang w:val="sl-SI" w:eastAsia="sl-SI"/>
        </w:rPr>
      </w:pPr>
    </w:p>
    <w:sectPr w:rsidR="00EF60EA" w:rsidRPr="00A2404A" w:rsidSect="00F0025B">
      <w:headerReference w:type="even" r:id="rId8"/>
      <w:headerReference w:type="default" r:id="rId9"/>
      <w:footerReference w:type="even" r:id="rId10"/>
      <w:footerReference w:type="default" r:id="rId11"/>
      <w:headerReference w:type="first" r:id="rId12"/>
      <w:footerReference w:type="first" r:id="rId13"/>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7B56F" w14:textId="77777777" w:rsidR="00580405" w:rsidRDefault="00580405">
      <w:pPr>
        <w:spacing w:line="240" w:lineRule="auto"/>
      </w:pPr>
      <w:r>
        <w:separator/>
      </w:r>
    </w:p>
  </w:endnote>
  <w:endnote w:type="continuationSeparator" w:id="0">
    <w:p w14:paraId="79EA78CB" w14:textId="77777777" w:rsidR="00580405" w:rsidRDefault="00580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C5143" w14:textId="77777777" w:rsidR="001D7995" w:rsidRDefault="001D799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7D24D" w14:textId="37BDE73E" w:rsidR="000B0B21" w:rsidRDefault="00751D38"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787376">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787376">
      <w:rPr>
        <w:rFonts w:cs="Arial"/>
        <w:noProof/>
        <w:sz w:val="16"/>
      </w:rPr>
      <w:t>2</w:t>
    </w:r>
    <w:r>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A36D" w14:textId="2E45CE81" w:rsidR="000B0B21" w:rsidRDefault="00751D38"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78737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787376">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0AABA" w14:textId="77777777" w:rsidR="00580405" w:rsidRDefault="00580405">
      <w:pPr>
        <w:spacing w:line="240" w:lineRule="auto"/>
      </w:pPr>
      <w:r>
        <w:separator/>
      </w:r>
    </w:p>
  </w:footnote>
  <w:footnote w:type="continuationSeparator" w:id="0">
    <w:p w14:paraId="3C36805E" w14:textId="77777777" w:rsidR="00580405" w:rsidRDefault="00580405">
      <w:pPr>
        <w:spacing w:line="240" w:lineRule="auto"/>
      </w:pPr>
      <w:r>
        <w:continuationSeparator/>
      </w:r>
    </w:p>
  </w:footnote>
  <w:footnote w:id="1">
    <w:p w14:paraId="1F86BF80" w14:textId="77777777" w:rsidR="00EF60EA" w:rsidRPr="00A57774" w:rsidRDefault="00EF60EA" w:rsidP="00EF60EA">
      <w:pPr>
        <w:pStyle w:val="Sprotnaopomba-besedilo"/>
        <w:rPr>
          <w:sz w:val="14"/>
          <w:szCs w:val="14"/>
          <w:lang w:val="sl-SI"/>
        </w:rPr>
      </w:pPr>
      <w:r w:rsidRPr="00A57774">
        <w:rPr>
          <w:rStyle w:val="Sprotnaopomba-sklic"/>
          <w:sz w:val="14"/>
          <w:szCs w:val="14"/>
        </w:rPr>
        <w:footnoteRef/>
      </w:r>
      <w:r w:rsidRPr="00A57774">
        <w:rPr>
          <w:sz w:val="14"/>
          <w:szCs w:val="14"/>
        </w:rPr>
        <w:t xml:space="preserve"> </w:t>
      </w:r>
      <w:r w:rsidRPr="00A57774">
        <w:rPr>
          <w:rFonts w:cs="Arial"/>
          <w:sz w:val="14"/>
          <w:szCs w:val="14"/>
          <w:lang w:val="sl-SI"/>
        </w:rPr>
        <w:t>Uredba Komisije (EU) 2017/1151 z dne 1. junija 2017 o dopolnitvi Uredbe (ES) št. 715/2007 Evropskega parlamenta in Sveta o homologaciji motornih vozil glede na emisije iz lahkih potniških in gospodarskih vozil (Euro 5 in Euro 6) in o dostopu do informacij o popravilu in vzdrževanju vozil, o spremembah Direktive 2007/46/ES Evropskega parlamenta in Sveta, Uredbe Komisije (ES) št. 692/2008 in Uredbe Komisije (EU) št. 1230/2012 ter o razveljavitvi Uredbe Komisije (ES) št. 692/2008.</w:t>
      </w:r>
    </w:p>
  </w:footnote>
  <w:footnote w:id="2">
    <w:p w14:paraId="0F6D41C2" w14:textId="77777777" w:rsidR="00EF60EA" w:rsidRPr="00A57774" w:rsidRDefault="00EF60EA" w:rsidP="00EF60EA">
      <w:pPr>
        <w:pStyle w:val="Sprotnaopomba-besedilo"/>
        <w:rPr>
          <w:sz w:val="14"/>
          <w:szCs w:val="14"/>
          <w:lang w:val="sl-SI"/>
        </w:rPr>
      </w:pPr>
      <w:r w:rsidRPr="00A57774">
        <w:rPr>
          <w:rStyle w:val="Sprotnaopomba-sklic"/>
          <w:sz w:val="14"/>
          <w:szCs w:val="14"/>
        </w:rPr>
        <w:footnoteRef/>
      </w:r>
      <w:r w:rsidRPr="00A57774">
        <w:rPr>
          <w:sz w:val="14"/>
          <w:szCs w:val="14"/>
        </w:rPr>
        <w:t xml:space="preserve"> </w:t>
      </w:r>
      <w:r w:rsidRPr="00A57774">
        <w:rPr>
          <w:rFonts w:cs="Arial"/>
          <w:sz w:val="14"/>
          <w:szCs w:val="14"/>
          <w:lang w:val="sl-SI"/>
        </w:rPr>
        <w:t>Uredba Komisije (ES) št. 692/2008 z dne 18. julij 2008 o izvajanju in spremembi Uredbe (ES) št. 715/2007 Evropskega parlamenta in Sveta o homologaciji motornih vozil glede na emisije iz lahkih potniških in gospodarskih vozil (Euro 5 in Euro 6) in o dostopu do informacij o popravilu in vzdrževanju vozil.</w:t>
      </w:r>
    </w:p>
  </w:footnote>
  <w:footnote w:id="3">
    <w:p w14:paraId="6D80620D" w14:textId="77777777" w:rsidR="00EF60EA" w:rsidRPr="00A2404A" w:rsidRDefault="00EF60EA" w:rsidP="00EF60EA">
      <w:pPr>
        <w:pStyle w:val="Sprotnaopomba-besedilo"/>
        <w:rPr>
          <w:lang w:val="sl-SI"/>
        </w:rPr>
      </w:pPr>
      <w:r w:rsidRPr="00A57774">
        <w:rPr>
          <w:rStyle w:val="Sprotnaopomba-sklic"/>
          <w:sz w:val="14"/>
          <w:szCs w:val="14"/>
        </w:rPr>
        <w:footnoteRef/>
      </w:r>
      <w:r w:rsidRPr="00A57774">
        <w:rPr>
          <w:sz w:val="14"/>
          <w:szCs w:val="14"/>
        </w:rPr>
        <w:t xml:space="preserve"> </w:t>
      </w:r>
      <w:r w:rsidRPr="00A57774">
        <w:rPr>
          <w:rFonts w:cs="Arial"/>
          <w:sz w:val="14"/>
          <w:szCs w:val="14"/>
          <w:lang w:val="sl-SI"/>
        </w:rPr>
        <w:t>Vozila iz zaključka serije, ki so homologirana in izmerjena v skladu s preskusnim postopkom NEDC, so lahko dana na trg v obdobju dvanajstih mesecev od dneva, ko poteče veljavnost ES-homologacije, tj. do 31. 8. 2019.</w:t>
      </w:r>
    </w:p>
  </w:footnote>
  <w:footnote w:id="4">
    <w:p w14:paraId="713E7DDD" w14:textId="77777777" w:rsidR="00EF60EA" w:rsidRPr="00A57774" w:rsidRDefault="00EF60EA" w:rsidP="00EF60EA">
      <w:pPr>
        <w:pStyle w:val="Sprotnaopomba-besedilo"/>
        <w:rPr>
          <w:sz w:val="14"/>
          <w:szCs w:val="14"/>
          <w:lang w:val="sl-SI"/>
        </w:rPr>
      </w:pPr>
      <w:r w:rsidRPr="00A57774">
        <w:rPr>
          <w:rFonts w:cs="Arial"/>
          <w:sz w:val="14"/>
          <w:szCs w:val="14"/>
          <w:lang w:val="sl-SI"/>
        </w:rPr>
        <w:footnoteRef/>
      </w:r>
      <w:r w:rsidRPr="00A57774">
        <w:rPr>
          <w:rFonts w:cs="Arial"/>
          <w:sz w:val="14"/>
          <w:szCs w:val="14"/>
          <w:lang w:val="sl-SI"/>
        </w:rPr>
        <w:t xml:space="preserve"> Izvedbena uredba Komisije (EU) 2017/1153 z dne 2 junija 2017 o opredelitvi metodologije za določitev korelacijskih parametrov, potrebnih za odraz spremembe v regulativnem preskusnem postopku, in o spremembi Uredbe (EU) št. 1014/2010.  </w:t>
      </w:r>
    </w:p>
  </w:footnote>
  <w:footnote w:id="5">
    <w:p w14:paraId="056F6BEB" w14:textId="77777777" w:rsidR="00EF60EA" w:rsidRPr="00A57774" w:rsidRDefault="00EF60EA" w:rsidP="00EF60EA">
      <w:pPr>
        <w:pStyle w:val="Sprotnaopomba-besedilo"/>
        <w:rPr>
          <w:rFonts w:cs="Arial"/>
          <w:sz w:val="14"/>
          <w:szCs w:val="14"/>
          <w:lang w:val="sl-SI"/>
        </w:rPr>
      </w:pPr>
      <w:r w:rsidRPr="00A57774">
        <w:rPr>
          <w:rStyle w:val="Sprotnaopomba-sklic"/>
          <w:sz w:val="14"/>
          <w:szCs w:val="14"/>
        </w:rPr>
        <w:footnoteRef/>
      </w:r>
      <w:r w:rsidRPr="00A57774">
        <w:rPr>
          <w:sz w:val="14"/>
          <w:szCs w:val="14"/>
        </w:rPr>
        <w:t xml:space="preserve"> </w:t>
      </w:r>
      <w:r w:rsidRPr="00A57774">
        <w:rPr>
          <w:rFonts w:cs="Arial"/>
          <w:sz w:val="14"/>
          <w:szCs w:val="14"/>
          <w:lang w:val="sl-SI"/>
        </w:rPr>
        <w:t>Uredba (ES) št. 443/2009 Evropskega parlamenta in Sveta z dne 23. aprila 2009 o določitvi standardov emisijskih vrednosti za nove osebne avtomobile kot del celostnega pristopa Skupnosti za zmanjšanje emisij CO2 iz lahkih tovornih vozil.</w:t>
      </w:r>
    </w:p>
    <w:p w14:paraId="1E8BC7C0" w14:textId="77777777" w:rsidR="00EF60EA" w:rsidRPr="0049750E" w:rsidRDefault="00EF60EA" w:rsidP="00EF60EA">
      <w:pPr>
        <w:pStyle w:val="Sprotnaopomba-besedilo"/>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EEBD" w14:textId="77777777" w:rsidR="001D7995" w:rsidRDefault="001D799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8BE82" w14:textId="454D0B78" w:rsidR="000B0B21" w:rsidRPr="00110CBD" w:rsidRDefault="000B0B21" w:rsidP="007D75CF">
    <w:pPr>
      <w:pStyle w:val="Header0"/>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F1645" w14:paraId="715D1344" w14:textId="77777777">
      <w:trPr>
        <w:cantSplit/>
        <w:trHeight w:hRule="exact" w:val="847"/>
      </w:trPr>
      <w:tc>
        <w:tcPr>
          <w:tcW w:w="567" w:type="dxa"/>
        </w:tcPr>
        <w:p w14:paraId="63880E0B" w14:textId="77777777" w:rsidR="000B0B21" w:rsidRDefault="00C64E70"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758FB96C" w14:textId="77777777" w:rsidR="000B0B21" w:rsidRPr="006D42D9" w:rsidRDefault="000B0B21" w:rsidP="006D42D9">
          <w:pPr>
            <w:pStyle w:val="Normal2"/>
            <w:rPr>
              <w:rFonts w:ascii="Republika" w:hAnsi="Republika"/>
              <w:sz w:val="60"/>
              <w:szCs w:val="60"/>
              <w:lang w:val="sl-SI"/>
            </w:rPr>
          </w:pPr>
        </w:p>
        <w:p w14:paraId="25C966FC" w14:textId="77777777" w:rsidR="000B0B21" w:rsidRPr="006D42D9" w:rsidRDefault="000B0B21" w:rsidP="006D42D9">
          <w:pPr>
            <w:pStyle w:val="Normal2"/>
            <w:rPr>
              <w:rFonts w:ascii="Republika" w:hAnsi="Republika"/>
              <w:sz w:val="60"/>
              <w:szCs w:val="60"/>
              <w:lang w:val="sl-SI"/>
            </w:rPr>
          </w:pPr>
        </w:p>
        <w:p w14:paraId="3A80AA0A" w14:textId="77777777" w:rsidR="000B0B21" w:rsidRPr="006D42D9" w:rsidRDefault="000B0B21" w:rsidP="006D42D9">
          <w:pPr>
            <w:pStyle w:val="Normal2"/>
            <w:rPr>
              <w:rFonts w:ascii="Republika" w:hAnsi="Republika"/>
              <w:sz w:val="60"/>
              <w:szCs w:val="60"/>
              <w:lang w:val="sl-SI"/>
            </w:rPr>
          </w:pPr>
        </w:p>
        <w:p w14:paraId="750808F6" w14:textId="77777777" w:rsidR="000B0B21" w:rsidRPr="006D42D9" w:rsidRDefault="000B0B21" w:rsidP="006D42D9">
          <w:pPr>
            <w:pStyle w:val="Normal2"/>
            <w:rPr>
              <w:rFonts w:ascii="Republika" w:hAnsi="Republika"/>
              <w:sz w:val="60"/>
              <w:szCs w:val="60"/>
              <w:lang w:val="sl-SI"/>
            </w:rPr>
          </w:pPr>
        </w:p>
        <w:p w14:paraId="504CC292" w14:textId="77777777" w:rsidR="000B0B21" w:rsidRPr="006D42D9" w:rsidRDefault="000B0B21" w:rsidP="006D42D9">
          <w:pPr>
            <w:pStyle w:val="Normal2"/>
            <w:rPr>
              <w:rFonts w:ascii="Republika" w:hAnsi="Republika"/>
              <w:sz w:val="60"/>
              <w:szCs w:val="60"/>
              <w:lang w:val="sl-SI"/>
            </w:rPr>
          </w:pPr>
        </w:p>
        <w:p w14:paraId="2BD148F6" w14:textId="77777777" w:rsidR="000B0B21" w:rsidRPr="006D42D9" w:rsidRDefault="000B0B21" w:rsidP="006D42D9">
          <w:pPr>
            <w:pStyle w:val="Normal2"/>
            <w:rPr>
              <w:rFonts w:ascii="Republika" w:hAnsi="Republika"/>
              <w:sz w:val="60"/>
              <w:szCs w:val="60"/>
              <w:lang w:val="sl-SI"/>
            </w:rPr>
          </w:pPr>
        </w:p>
        <w:p w14:paraId="16E8CAC1" w14:textId="77777777" w:rsidR="000B0B21" w:rsidRPr="006D42D9" w:rsidRDefault="000B0B21" w:rsidP="006D42D9">
          <w:pPr>
            <w:pStyle w:val="Normal2"/>
            <w:rPr>
              <w:rFonts w:ascii="Republika" w:hAnsi="Republika"/>
              <w:sz w:val="60"/>
              <w:szCs w:val="60"/>
              <w:lang w:val="sl-SI"/>
            </w:rPr>
          </w:pPr>
        </w:p>
        <w:p w14:paraId="7BB7093A" w14:textId="77777777" w:rsidR="000B0B21" w:rsidRPr="006D42D9" w:rsidRDefault="000B0B21" w:rsidP="006D42D9">
          <w:pPr>
            <w:pStyle w:val="Normal2"/>
            <w:rPr>
              <w:rFonts w:ascii="Republika" w:hAnsi="Republika"/>
              <w:sz w:val="60"/>
              <w:szCs w:val="60"/>
              <w:lang w:val="sl-SI"/>
            </w:rPr>
          </w:pPr>
        </w:p>
        <w:p w14:paraId="37EA0256" w14:textId="77777777" w:rsidR="000B0B21" w:rsidRPr="006D42D9" w:rsidRDefault="000B0B21" w:rsidP="006D42D9">
          <w:pPr>
            <w:pStyle w:val="Normal2"/>
            <w:rPr>
              <w:rFonts w:ascii="Republika" w:hAnsi="Republika"/>
              <w:sz w:val="60"/>
              <w:szCs w:val="60"/>
              <w:lang w:val="sl-SI"/>
            </w:rPr>
          </w:pPr>
        </w:p>
        <w:p w14:paraId="27687848" w14:textId="77777777" w:rsidR="000B0B21" w:rsidRPr="006D42D9" w:rsidRDefault="000B0B21" w:rsidP="006D42D9">
          <w:pPr>
            <w:pStyle w:val="Normal2"/>
            <w:rPr>
              <w:rFonts w:ascii="Republika" w:hAnsi="Republika"/>
              <w:sz w:val="60"/>
              <w:szCs w:val="60"/>
              <w:lang w:val="sl-SI"/>
            </w:rPr>
          </w:pPr>
        </w:p>
        <w:p w14:paraId="6DDB303B" w14:textId="77777777" w:rsidR="000B0B21" w:rsidRPr="006D42D9" w:rsidRDefault="000B0B21" w:rsidP="006D42D9">
          <w:pPr>
            <w:pStyle w:val="Normal2"/>
            <w:rPr>
              <w:rFonts w:ascii="Republika" w:hAnsi="Republika"/>
              <w:sz w:val="60"/>
              <w:szCs w:val="60"/>
              <w:lang w:val="sl-SI"/>
            </w:rPr>
          </w:pPr>
        </w:p>
        <w:p w14:paraId="0CD62B9E" w14:textId="77777777" w:rsidR="000B0B21" w:rsidRPr="006D42D9" w:rsidRDefault="000B0B21" w:rsidP="006D42D9">
          <w:pPr>
            <w:pStyle w:val="Normal2"/>
            <w:rPr>
              <w:rFonts w:ascii="Republika" w:hAnsi="Republika"/>
              <w:sz w:val="60"/>
              <w:szCs w:val="60"/>
              <w:lang w:val="sl-SI"/>
            </w:rPr>
          </w:pPr>
        </w:p>
        <w:p w14:paraId="0F53FA55" w14:textId="77777777" w:rsidR="000B0B21" w:rsidRPr="006D42D9" w:rsidRDefault="000B0B21" w:rsidP="006D42D9">
          <w:pPr>
            <w:pStyle w:val="Normal2"/>
            <w:rPr>
              <w:rFonts w:ascii="Republika" w:hAnsi="Republika"/>
              <w:sz w:val="60"/>
              <w:szCs w:val="60"/>
              <w:lang w:val="sl-SI"/>
            </w:rPr>
          </w:pPr>
        </w:p>
        <w:p w14:paraId="23B74F9E" w14:textId="77777777" w:rsidR="000B0B21" w:rsidRPr="006D42D9" w:rsidRDefault="000B0B21" w:rsidP="006D42D9">
          <w:pPr>
            <w:pStyle w:val="Normal2"/>
            <w:rPr>
              <w:rFonts w:ascii="Republika" w:hAnsi="Republika"/>
              <w:sz w:val="60"/>
              <w:szCs w:val="60"/>
              <w:lang w:val="sl-SI"/>
            </w:rPr>
          </w:pPr>
        </w:p>
        <w:p w14:paraId="4A7637D7" w14:textId="77777777" w:rsidR="000B0B21" w:rsidRPr="006D42D9" w:rsidRDefault="000B0B21" w:rsidP="006D42D9">
          <w:pPr>
            <w:pStyle w:val="Normal2"/>
            <w:rPr>
              <w:rFonts w:ascii="Republika" w:hAnsi="Republika"/>
              <w:sz w:val="60"/>
              <w:szCs w:val="60"/>
              <w:lang w:val="sl-SI"/>
            </w:rPr>
          </w:pPr>
        </w:p>
        <w:p w14:paraId="34490BF9" w14:textId="77777777" w:rsidR="000B0B21" w:rsidRPr="006D42D9" w:rsidRDefault="000B0B21" w:rsidP="006D42D9">
          <w:pPr>
            <w:pStyle w:val="Normal2"/>
            <w:rPr>
              <w:rFonts w:ascii="Republika" w:hAnsi="Republika"/>
              <w:sz w:val="60"/>
              <w:szCs w:val="60"/>
              <w:lang w:val="sl-SI"/>
            </w:rPr>
          </w:pPr>
        </w:p>
      </w:tc>
    </w:tr>
  </w:tbl>
  <w:p w14:paraId="1AB9004E" w14:textId="470FEC47" w:rsidR="000B0B21" w:rsidRPr="008F3500" w:rsidRDefault="00C64E70"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1B955EAD" wp14:editId="1EC34C26">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038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0B0B21" w:rsidRPr="008F3500">
      <w:rPr>
        <w:rFonts w:ascii="Republika" w:hAnsi="Republika"/>
        <w:lang w:val="sl-SI"/>
      </w:rPr>
      <w:t>REPUBLIKA SLOVENIJA</w:t>
    </w:r>
  </w:p>
  <w:p w14:paraId="464D79B1" w14:textId="77777777" w:rsidR="000B0B21" w:rsidRPr="008B2E72" w:rsidRDefault="00C64E70" w:rsidP="00924E3C">
    <w:pPr>
      <w:pStyle w:val="Header1"/>
      <w:tabs>
        <w:tab w:val="clear" w:pos="4320"/>
        <w:tab w:val="clear" w:pos="8640"/>
        <w:tab w:val="left" w:pos="5112"/>
      </w:tabs>
      <w:spacing w:after="120" w:line="240" w:lineRule="exact"/>
      <w:rPr>
        <w:rFonts w:ascii="Republika" w:hAnsi="Republika"/>
        <w:b/>
        <w:caps/>
        <w:lang w:val="sl-SI"/>
      </w:rPr>
    </w:pPr>
    <w:r w:rsidRPr="008B2E72">
      <w:rPr>
        <w:rFonts w:ascii="Republika" w:hAnsi="Republika"/>
        <w:b/>
        <w:caps/>
        <w:lang w:val="sl-SI"/>
      </w:rPr>
      <w:t>Ministrstvo za finance</w:t>
    </w:r>
  </w:p>
  <w:p w14:paraId="25424E79" w14:textId="77777777" w:rsidR="00ED7E82" w:rsidRDefault="00C64E70"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7BC94342" w14:textId="77777777" w:rsidR="000B0B21" w:rsidRPr="00A12D5C" w:rsidRDefault="00C64E70"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w:t>
    </w:r>
    <w:r w:rsidR="00A12D5C">
      <w:rPr>
        <w:rFonts w:ascii="Republika" w:hAnsi="Republika"/>
        <w:lang w:val="sl-SI"/>
      </w:rPr>
      <w:t xml:space="preserve"> urad</w:t>
    </w:r>
  </w:p>
  <w:p w14:paraId="732629DE" w14:textId="77777777" w:rsidR="00F47F58" w:rsidRPr="008F3500" w:rsidRDefault="00C64E70" w:rsidP="00F47F58">
    <w:pPr>
      <w:pStyle w:val="Header4"/>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000B0B21" w:rsidRPr="008F3500">
      <w:rPr>
        <w:rFonts w:cs="Arial"/>
        <w:sz w:val="16"/>
        <w:lang w:val="sl-SI"/>
      </w:rPr>
      <w:t xml:space="preserve">, </w:t>
    </w:r>
    <w:r>
      <w:rPr>
        <w:rFonts w:cs="Arial"/>
        <w:sz w:val="16"/>
        <w:lang w:val="sl-SI"/>
      </w:rPr>
      <w:t>1001 Ljubljana</w:t>
    </w:r>
    <w:r w:rsidR="000B0B21" w:rsidRPr="008F3500">
      <w:rPr>
        <w:rFonts w:cs="Arial"/>
        <w:sz w:val="16"/>
        <w:lang w:val="sl-SI"/>
      </w:rPr>
      <w:tab/>
    </w:r>
    <w:r w:rsidRPr="008F3500">
      <w:rPr>
        <w:rFonts w:cs="Arial"/>
        <w:sz w:val="16"/>
        <w:lang w:val="sl-SI"/>
      </w:rPr>
      <w:t xml:space="preserve">T: </w:t>
    </w:r>
    <w:r>
      <w:rPr>
        <w:rFonts w:cs="Arial"/>
        <w:sz w:val="16"/>
        <w:lang w:val="sl-SI"/>
      </w:rPr>
      <w:t>01 478 38 00</w:t>
    </w:r>
  </w:p>
  <w:p w14:paraId="1A212342" w14:textId="77777777" w:rsidR="00F47F58" w:rsidRPr="008F3500" w:rsidRDefault="00C64E70" w:rsidP="00F47F58">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04526D54" w14:textId="77777777" w:rsidR="00F47F58" w:rsidRPr="008F3500" w:rsidRDefault="00C64E70" w:rsidP="00F47F58">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938D487" w14:textId="77777777" w:rsidR="00F47F58" w:rsidRPr="008F3500" w:rsidRDefault="00C64E70" w:rsidP="00F47F58">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443E34E8" w14:textId="77777777" w:rsidR="000B0B21" w:rsidRPr="008F3500" w:rsidRDefault="000B0B21" w:rsidP="00F47F58">
    <w:pPr>
      <w:pStyle w:val="Header8"/>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FC888982">
      <w:start w:val="1"/>
      <w:numFmt w:val="decimal"/>
      <w:lvlText w:val="%1."/>
      <w:lvlJc w:val="left"/>
      <w:pPr>
        <w:tabs>
          <w:tab w:val="num" w:pos="1080"/>
        </w:tabs>
        <w:ind w:left="1080" w:hanging="360"/>
      </w:pPr>
      <w:rPr>
        <w:rFonts w:hint="default"/>
      </w:rPr>
    </w:lvl>
    <w:lvl w:ilvl="1" w:tplc="B0D46418" w:tentative="1">
      <w:start w:val="1"/>
      <w:numFmt w:val="lowerLetter"/>
      <w:lvlText w:val="%2."/>
      <w:lvlJc w:val="left"/>
      <w:pPr>
        <w:ind w:left="1800" w:hanging="360"/>
      </w:pPr>
    </w:lvl>
    <w:lvl w:ilvl="2" w:tplc="53CC437C" w:tentative="1">
      <w:start w:val="1"/>
      <w:numFmt w:val="lowerRoman"/>
      <w:lvlText w:val="%3."/>
      <w:lvlJc w:val="right"/>
      <w:pPr>
        <w:ind w:left="2520" w:hanging="180"/>
      </w:pPr>
    </w:lvl>
    <w:lvl w:ilvl="3" w:tplc="7E642690" w:tentative="1">
      <w:start w:val="1"/>
      <w:numFmt w:val="decimal"/>
      <w:lvlText w:val="%4."/>
      <w:lvlJc w:val="left"/>
      <w:pPr>
        <w:ind w:left="3240" w:hanging="360"/>
      </w:pPr>
    </w:lvl>
    <w:lvl w:ilvl="4" w:tplc="AB76683C" w:tentative="1">
      <w:start w:val="1"/>
      <w:numFmt w:val="lowerLetter"/>
      <w:lvlText w:val="%5."/>
      <w:lvlJc w:val="left"/>
      <w:pPr>
        <w:ind w:left="3960" w:hanging="360"/>
      </w:pPr>
    </w:lvl>
    <w:lvl w:ilvl="5" w:tplc="2C484718" w:tentative="1">
      <w:start w:val="1"/>
      <w:numFmt w:val="lowerRoman"/>
      <w:lvlText w:val="%6."/>
      <w:lvlJc w:val="right"/>
      <w:pPr>
        <w:ind w:left="4680" w:hanging="180"/>
      </w:pPr>
    </w:lvl>
    <w:lvl w:ilvl="6" w:tplc="DA48A3AE" w:tentative="1">
      <w:start w:val="1"/>
      <w:numFmt w:val="decimal"/>
      <w:lvlText w:val="%7."/>
      <w:lvlJc w:val="left"/>
      <w:pPr>
        <w:ind w:left="5400" w:hanging="360"/>
      </w:pPr>
    </w:lvl>
    <w:lvl w:ilvl="7" w:tplc="FCE447DE" w:tentative="1">
      <w:start w:val="1"/>
      <w:numFmt w:val="lowerLetter"/>
      <w:lvlText w:val="%8."/>
      <w:lvlJc w:val="left"/>
      <w:pPr>
        <w:ind w:left="6120" w:hanging="360"/>
      </w:pPr>
    </w:lvl>
    <w:lvl w:ilvl="8" w:tplc="60480AE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D3BC7C20">
      <w:start w:val="1"/>
      <w:numFmt w:val="decimal"/>
      <w:lvlText w:val="%1."/>
      <w:lvlJc w:val="left"/>
      <w:pPr>
        <w:tabs>
          <w:tab w:val="num" w:pos="360"/>
        </w:tabs>
        <w:ind w:left="360" w:hanging="360"/>
      </w:pPr>
      <w:rPr>
        <w:rFonts w:hint="default"/>
      </w:rPr>
    </w:lvl>
    <w:lvl w:ilvl="1" w:tplc="7E94735A" w:tentative="1">
      <w:start w:val="1"/>
      <w:numFmt w:val="lowerLetter"/>
      <w:lvlText w:val="%2."/>
      <w:lvlJc w:val="left"/>
      <w:pPr>
        <w:ind w:left="1080" w:hanging="360"/>
      </w:pPr>
    </w:lvl>
    <w:lvl w:ilvl="2" w:tplc="D66A5870" w:tentative="1">
      <w:start w:val="1"/>
      <w:numFmt w:val="lowerRoman"/>
      <w:lvlText w:val="%3."/>
      <w:lvlJc w:val="right"/>
      <w:pPr>
        <w:ind w:left="1800" w:hanging="180"/>
      </w:pPr>
    </w:lvl>
    <w:lvl w:ilvl="3" w:tplc="44DE732A" w:tentative="1">
      <w:start w:val="1"/>
      <w:numFmt w:val="decimal"/>
      <w:lvlText w:val="%4."/>
      <w:lvlJc w:val="left"/>
      <w:pPr>
        <w:ind w:left="2520" w:hanging="360"/>
      </w:pPr>
    </w:lvl>
    <w:lvl w:ilvl="4" w:tplc="93468E7E" w:tentative="1">
      <w:start w:val="1"/>
      <w:numFmt w:val="lowerLetter"/>
      <w:lvlText w:val="%5."/>
      <w:lvlJc w:val="left"/>
      <w:pPr>
        <w:ind w:left="3240" w:hanging="360"/>
      </w:pPr>
    </w:lvl>
    <w:lvl w:ilvl="5" w:tplc="E26E342C" w:tentative="1">
      <w:start w:val="1"/>
      <w:numFmt w:val="lowerRoman"/>
      <w:lvlText w:val="%6."/>
      <w:lvlJc w:val="right"/>
      <w:pPr>
        <w:ind w:left="3960" w:hanging="180"/>
      </w:pPr>
    </w:lvl>
    <w:lvl w:ilvl="6" w:tplc="D876E41A" w:tentative="1">
      <w:start w:val="1"/>
      <w:numFmt w:val="decimal"/>
      <w:lvlText w:val="%7."/>
      <w:lvlJc w:val="left"/>
      <w:pPr>
        <w:ind w:left="4680" w:hanging="360"/>
      </w:pPr>
    </w:lvl>
    <w:lvl w:ilvl="7" w:tplc="3B08FE50" w:tentative="1">
      <w:start w:val="1"/>
      <w:numFmt w:val="lowerLetter"/>
      <w:lvlText w:val="%8."/>
      <w:lvlJc w:val="left"/>
      <w:pPr>
        <w:ind w:left="5400" w:hanging="360"/>
      </w:pPr>
    </w:lvl>
    <w:lvl w:ilvl="8" w:tplc="D40A2DD8"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A036DD5E">
      <w:start w:val="1"/>
      <w:numFmt w:val="decimal"/>
      <w:lvlText w:val="%1."/>
      <w:lvlJc w:val="left"/>
      <w:pPr>
        <w:tabs>
          <w:tab w:val="num" w:pos="720"/>
        </w:tabs>
        <w:ind w:left="720" w:hanging="360"/>
      </w:pPr>
      <w:rPr>
        <w:rFonts w:hint="default"/>
      </w:rPr>
    </w:lvl>
    <w:lvl w:ilvl="1" w:tplc="059A38B0" w:tentative="1">
      <w:start w:val="1"/>
      <w:numFmt w:val="lowerLetter"/>
      <w:lvlText w:val="%2."/>
      <w:lvlJc w:val="left"/>
      <w:pPr>
        <w:tabs>
          <w:tab w:val="num" w:pos="1440"/>
        </w:tabs>
        <w:ind w:left="1440" w:hanging="360"/>
      </w:pPr>
    </w:lvl>
    <w:lvl w:ilvl="2" w:tplc="16EEF306" w:tentative="1">
      <w:start w:val="1"/>
      <w:numFmt w:val="lowerRoman"/>
      <w:lvlText w:val="%3."/>
      <w:lvlJc w:val="right"/>
      <w:pPr>
        <w:tabs>
          <w:tab w:val="num" w:pos="2160"/>
        </w:tabs>
        <w:ind w:left="2160" w:hanging="180"/>
      </w:pPr>
    </w:lvl>
    <w:lvl w:ilvl="3" w:tplc="B09A7C88" w:tentative="1">
      <w:start w:val="1"/>
      <w:numFmt w:val="decimal"/>
      <w:lvlText w:val="%4."/>
      <w:lvlJc w:val="left"/>
      <w:pPr>
        <w:tabs>
          <w:tab w:val="num" w:pos="2880"/>
        </w:tabs>
        <w:ind w:left="2880" w:hanging="360"/>
      </w:pPr>
    </w:lvl>
    <w:lvl w:ilvl="4" w:tplc="121E8462" w:tentative="1">
      <w:start w:val="1"/>
      <w:numFmt w:val="lowerLetter"/>
      <w:lvlText w:val="%5."/>
      <w:lvlJc w:val="left"/>
      <w:pPr>
        <w:tabs>
          <w:tab w:val="num" w:pos="3600"/>
        </w:tabs>
        <w:ind w:left="3600" w:hanging="360"/>
      </w:pPr>
    </w:lvl>
    <w:lvl w:ilvl="5" w:tplc="29203458" w:tentative="1">
      <w:start w:val="1"/>
      <w:numFmt w:val="lowerRoman"/>
      <w:lvlText w:val="%6."/>
      <w:lvlJc w:val="right"/>
      <w:pPr>
        <w:tabs>
          <w:tab w:val="num" w:pos="4320"/>
        </w:tabs>
        <w:ind w:left="4320" w:hanging="180"/>
      </w:pPr>
    </w:lvl>
    <w:lvl w:ilvl="6" w:tplc="85661E00" w:tentative="1">
      <w:start w:val="1"/>
      <w:numFmt w:val="decimal"/>
      <w:lvlText w:val="%7."/>
      <w:lvlJc w:val="left"/>
      <w:pPr>
        <w:tabs>
          <w:tab w:val="num" w:pos="5040"/>
        </w:tabs>
        <w:ind w:left="5040" w:hanging="360"/>
      </w:pPr>
    </w:lvl>
    <w:lvl w:ilvl="7" w:tplc="57CEE5D2" w:tentative="1">
      <w:start w:val="1"/>
      <w:numFmt w:val="lowerLetter"/>
      <w:lvlText w:val="%8."/>
      <w:lvlJc w:val="left"/>
      <w:pPr>
        <w:tabs>
          <w:tab w:val="num" w:pos="5760"/>
        </w:tabs>
        <w:ind w:left="5760" w:hanging="360"/>
      </w:pPr>
    </w:lvl>
    <w:lvl w:ilvl="8" w:tplc="3CF25E74" w:tentative="1">
      <w:start w:val="1"/>
      <w:numFmt w:val="lowerRoman"/>
      <w:lvlText w:val="%9."/>
      <w:lvlJc w:val="right"/>
      <w:pPr>
        <w:tabs>
          <w:tab w:val="num" w:pos="6480"/>
        </w:tabs>
        <w:ind w:left="6480" w:hanging="180"/>
      </w:pPr>
    </w:lvl>
  </w:abstractNum>
  <w:abstractNum w:abstractNumId="3" w15:restartNumberingAfterBreak="0">
    <w:nsid w:val="31287ADD"/>
    <w:multiLevelType w:val="hybridMultilevel"/>
    <w:tmpl w:val="7CF2EB3A"/>
    <w:lvl w:ilvl="0" w:tplc="73643C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37E3998">
      <w:start w:val="1"/>
      <w:numFmt w:val="decimal"/>
      <w:lvlText w:val="%1."/>
      <w:lvlJc w:val="left"/>
      <w:pPr>
        <w:tabs>
          <w:tab w:val="num" w:pos="720"/>
        </w:tabs>
        <w:ind w:left="720" w:hanging="360"/>
      </w:pPr>
    </w:lvl>
    <w:lvl w:ilvl="1" w:tplc="F6C210A8" w:tentative="1">
      <w:start w:val="1"/>
      <w:numFmt w:val="lowerLetter"/>
      <w:lvlText w:val="%2."/>
      <w:lvlJc w:val="left"/>
      <w:pPr>
        <w:tabs>
          <w:tab w:val="num" w:pos="1440"/>
        </w:tabs>
        <w:ind w:left="1440" w:hanging="360"/>
      </w:pPr>
    </w:lvl>
    <w:lvl w:ilvl="2" w:tplc="3A9CD924" w:tentative="1">
      <w:start w:val="1"/>
      <w:numFmt w:val="lowerRoman"/>
      <w:lvlText w:val="%3."/>
      <w:lvlJc w:val="right"/>
      <w:pPr>
        <w:tabs>
          <w:tab w:val="num" w:pos="2160"/>
        </w:tabs>
        <w:ind w:left="2160" w:hanging="180"/>
      </w:pPr>
    </w:lvl>
    <w:lvl w:ilvl="3" w:tplc="BCAEEBFC" w:tentative="1">
      <w:start w:val="1"/>
      <w:numFmt w:val="decimal"/>
      <w:lvlText w:val="%4."/>
      <w:lvlJc w:val="left"/>
      <w:pPr>
        <w:tabs>
          <w:tab w:val="num" w:pos="2880"/>
        </w:tabs>
        <w:ind w:left="2880" w:hanging="360"/>
      </w:pPr>
    </w:lvl>
    <w:lvl w:ilvl="4" w:tplc="DC621B26" w:tentative="1">
      <w:start w:val="1"/>
      <w:numFmt w:val="lowerLetter"/>
      <w:lvlText w:val="%5."/>
      <w:lvlJc w:val="left"/>
      <w:pPr>
        <w:tabs>
          <w:tab w:val="num" w:pos="3600"/>
        </w:tabs>
        <w:ind w:left="3600" w:hanging="360"/>
      </w:pPr>
    </w:lvl>
    <w:lvl w:ilvl="5" w:tplc="D200C6CC" w:tentative="1">
      <w:start w:val="1"/>
      <w:numFmt w:val="lowerRoman"/>
      <w:lvlText w:val="%6."/>
      <w:lvlJc w:val="right"/>
      <w:pPr>
        <w:tabs>
          <w:tab w:val="num" w:pos="4320"/>
        </w:tabs>
        <w:ind w:left="4320" w:hanging="180"/>
      </w:pPr>
    </w:lvl>
    <w:lvl w:ilvl="6" w:tplc="3E0CE0B8" w:tentative="1">
      <w:start w:val="1"/>
      <w:numFmt w:val="decimal"/>
      <w:lvlText w:val="%7."/>
      <w:lvlJc w:val="left"/>
      <w:pPr>
        <w:tabs>
          <w:tab w:val="num" w:pos="5040"/>
        </w:tabs>
        <w:ind w:left="5040" w:hanging="360"/>
      </w:pPr>
    </w:lvl>
    <w:lvl w:ilvl="7" w:tplc="756AF58C" w:tentative="1">
      <w:start w:val="1"/>
      <w:numFmt w:val="lowerLetter"/>
      <w:lvlText w:val="%8."/>
      <w:lvlJc w:val="left"/>
      <w:pPr>
        <w:tabs>
          <w:tab w:val="num" w:pos="5760"/>
        </w:tabs>
        <w:ind w:left="5760" w:hanging="360"/>
      </w:pPr>
    </w:lvl>
    <w:lvl w:ilvl="8" w:tplc="A53EBED8"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53B67"/>
    <w:rsid w:val="000636E1"/>
    <w:rsid w:val="00071578"/>
    <w:rsid w:val="0008352D"/>
    <w:rsid w:val="000932C9"/>
    <w:rsid w:val="000A07CE"/>
    <w:rsid w:val="000A2C92"/>
    <w:rsid w:val="000A7238"/>
    <w:rsid w:val="000B0B21"/>
    <w:rsid w:val="000C2E44"/>
    <w:rsid w:val="000D08A9"/>
    <w:rsid w:val="000F3D38"/>
    <w:rsid w:val="00110CBD"/>
    <w:rsid w:val="001357B2"/>
    <w:rsid w:val="00150ABE"/>
    <w:rsid w:val="00151388"/>
    <w:rsid w:val="00151872"/>
    <w:rsid w:val="00160E5F"/>
    <w:rsid w:val="001A3BA5"/>
    <w:rsid w:val="001B1770"/>
    <w:rsid w:val="001D7995"/>
    <w:rsid w:val="001F3B21"/>
    <w:rsid w:val="001F7BC0"/>
    <w:rsid w:val="001F7E15"/>
    <w:rsid w:val="00202A77"/>
    <w:rsid w:val="00232E47"/>
    <w:rsid w:val="00262960"/>
    <w:rsid w:val="00271CE5"/>
    <w:rsid w:val="002728C9"/>
    <w:rsid w:val="00282020"/>
    <w:rsid w:val="00285890"/>
    <w:rsid w:val="002934F1"/>
    <w:rsid w:val="002C7EEB"/>
    <w:rsid w:val="002E2ACC"/>
    <w:rsid w:val="00304726"/>
    <w:rsid w:val="00315D82"/>
    <w:rsid w:val="00352109"/>
    <w:rsid w:val="003636BF"/>
    <w:rsid w:val="00370AA7"/>
    <w:rsid w:val="00371034"/>
    <w:rsid w:val="0037479F"/>
    <w:rsid w:val="00377950"/>
    <w:rsid w:val="003845B4"/>
    <w:rsid w:val="00387B1A"/>
    <w:rsid w:val="00394727"/>
    <w:rsid w:val="003B5CF4"/>
    <w:rsid w:val="003C3B1D"/>
    <w:rsid w:val="003D0306"/>
    <w:rsid w:val="003E1C74"/>
    <w:rsid w:val="003F4966"/>
    <w:rsid w:val="00416032"/>
    <w:rsid w:val="00484A06"/>
    <w:rsid w:val="004A4233"/>
    <w:rsid w:val="004A6A59"/>
    <w:rsid w:val="004B160E"/>
    <w:rsid w:val="005149DF"/>
    <w:rsid w:val="00525C18"/>
    <w:rsid w:val="00526246"/>
    <w:rsid w:val="005617FC"/>
    <w:rsid w:val="00567106"/>
    <w:rsid w:val="005709F2"/>
    <w:rsid w:val="00580405"/>
    <w:rsid w:val="005916E5"/>
    <w:rsid w:val="005B0438"/>
    <w:rsid w:val="005C2972"/>
    <w:rsid w:val="005D136B"/>
    <w:rsid w:val="005E1D3C"/>
    <w:rsid w:val="006268BE"/>
    <w:rsid w:val="00632253"/>
    <w:rsid w:val="00634930"/>
    <w:rsid w:val="00642714"/>
    <w:rsid w:val="00643C4E"/>
    <w:rsid w:val="006455CE"/>
    <w:rsid w:val="0065455A"/>
    <w:rsid w:val="006650A1"/>
    <w:rsid w:val="006A45DC"/>
    <w:rsid w:val="006D42D9"/>
    <w:rsid w:val="006D44E6"/>
    <w:rsid w:val="006F142E"/>
    <w:rsid w:val="00726463"/>
    <w:rsid w:val="00733017"/>
    <w:rsid w:val="00751D38"/>
    <w:rsid w:val="007609E5"/>
    <w:rsid w:val="00775FED"/>
    <w:rsid w:val="00783310"/>
    <w:rsid w:val="00787376"/>
    <w:rsid w:val="00794E63"/>
    <w:rsid w:val="007A4A6D"/>
    <w:rsid w:val="007D1BCF"/>
    <w:rsid w:val="007D75CF"/>
    <w:rsid w:val="007D76B9"/>
    <w:rsid w:val="007E6DC5"/>
    <w:rsid w:val="00844AEF"/>
    <w:rsid w:val="0088043C"/>
    <w:rsid w:val="008906C9"/>
    <w:rsid w:val="008967DB"/>
    <w:rsid w:val="008A5918"/>
    <w:rsid w:val="008B2E72"/>
    <w:rsid w:val="008C00F2"/>
    <w:rsid w:val="008C5738"/>
    <w:rsid w:val="008D04F0"/>
    <w:rsid w:val="008D6645"/>
    <w:rsid w:val="008F3500"/>
    <w:rsid w:val="009022B3"/>
    <w:rsid w:val="00924E3C"/>
    <w:rsid w:val="00940AB9"/>
    <w:rsid w:val="009612BB"/>
    <w:rsid w:val="009B0295"/>
    <w:rsid w:val="009C5340"/>
    <w:rsid w:val="009E42F2"/>
    <w:rsid w:val="00A05DC7"/>
    <w:rsid w:val="00A125C5"/>
    <w:rsid w:val="00A12D5C"/>
    <w:rsid w:val="00A216AF"/>
    <w:rsid w:val="00A22992"/>
    <w:rsid w:val="00A3267F"/>
    <w:rsid w:val="00A36906"/>
    <w:rsid w:val="00A45EAF"/>
    <w:rsid w:val="00A5039D"/>
    <w:rsid w:val="00A65EE7"/>
    <w:rsid w:val="00A70133"/>
    <w:rsid w:val="00A72510"/>
    <w:rsid w:val="00A95A41"/>
    <w:rsid w:val="00AA47FE"/>
    <w:rsid w:val="00AC39C3"/>
    <w:rsid w:val="00AC5C16"/>
    <w:rsid w:val="00AD2AA5"/>
    <w:rsid w:val="00AD5A5B"/>
    <w:rsid w:val="00B011EA"/>
    <w:rsid w:val="00B17141"/>
    <w:rsid w:val="00B31575"/>
    <w:rsid w:val="00B45AE7"/>
    <w:rsid w:val="00B677B6"/>
    <w:rsid w:val="00B73F12"/>
    <w:rsid w:val="00B7577A"/>
    <w:rsid w:val="00B82DEF"/>
    <w:rsid w:val="00B8547D"/>
    <w:rsid w:val="00BC61EF"/>
    <w:rsid w:val="00BE423F"/>
    <w:rsid w:val="00C02069"/>
    <w:rsid w:val="00C10303"/>
    <w:rsid w:val="00C2373D"/>
    <w:rsid w:val="00C250D5"/>
    <w:rsid w:val="00C47F8D"/>
    <w:rsid w:val="00C52DAE"/>
    <w:rsid w:val="00C57EED"/>
    <w:rsid w:val="00C64E70"/>
    <w:rsid w:val="00C67D67"/>
    <w:rsid w:val="00C81391"/>
    <w:rsid w:val="00C86D69"/>
    <w:rsid w:val="00C92898"/>
    <w:rsid w:val="00C97222"/>
    <w:rsid w:val="00CD1E43"/>
    <w:rsid w:val="00CE7514"/>
    <w:rsid w:val="00D0020D"/>
    <w:rsid w:val="00D06D72"/>
    <w:rsid w:val="00D248DE"/>
    <w:rsid w:val="00D25427"/>
    <w:rsid w:val="00D31B74"/>
    <w:rsid w:val="00D3564D"/>
    <w:rsid w:val="00D4127A"/>
    <w:rsid w:val="00D8542D"/>
    <w:rsid w:val="00DB11E1"/>
    <w:rsid w:val="00DC62F6"/>
    <w:rsid w:val="00DC6A71"/>
    <w:rsid w:val="00DD6CC3"/>
    <w:rsid w:val="00DE5B46"/>
    <w:rsid w:val="00DF1645"/>
    <w:rsid w:val="00DF4794"/>
    <w:rsid w:val="00E0357D"/>
    <w:rsid w:val="00E24EC2"/>
    <w:rsid w:val="00E3081A"/>
    <w:rsid w:val="00E51C0F"/>
    <w:rsid w:val="00E8201C"/>
    <w:rsid w:val="00ED00D1"/>
    <w:rsid w:val="00ED7E82"/>
    <w:rsid w:val="00EF3280"/>
    <w:rsid w:val="00EF60EA"/>
    <w:rsid w:val="00F0025B"/>
    <w:rsid w:val="00F02E53"/>
    <w:rsid w:val="00F240BB"/>
    <w:rsid w:val="00F42CE8"/>
    <w:rsid w:val="00F46724"/>
    <w:rsid w:val="00F47F58"/>
    <w:rsid w:val="00F57FED"/>
    <w:rsid w:val="00FB2EE9"/>
    <w:rsid w:val="00FC3DA4"/>
    <w:rsid w:val="00FE36D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72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Normal12">
    <w:name w:val="Normal_12"/>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styleId="Odstavekseznama">
    <w:name w:val="List Paragraph"/>
    <w:basedOn w:val="Navaden"/>
    <w:uiPriority w:val="34"/>
    <w:qFormat/>
    <w:rsid w:val="00C64E70"/>
    <w:pPr>
      <w:spacing w:line="240" w:lineRule="auto"/>
      <w:ind w:left="720"/>
    </w:pPr>
    <w:rPr>
      <w:rFonts w:ascii="Calibri" w:eastAsiaTheme="minorHAnsi" w:hAnsi="Calibri"/>
      <w:sz w:val="22"/>
      <w:szCs w:val="22"/>
      <w:lang w:val="sl-SI"/>
    </w:rPr>
  </w:style>
  <w:style w:type="character" w:styleId="Pripombasklic">
    <w:name w:val="annotation reference"/>
    <w:basedOn w:val="Privzetapisavaodstavka"/>
    <w:semiHidden/>
    <w:unhideWhenUsed/>
    <w:rsid w:val="005D136B"/>
    <w:rPr>
      <w:sz w:val="16"/>
      <w:szCs w:val="16"/>
    </w:rPr>
  </w:style>
  <w:style w:type="paragraph" w:styleId="Pripombabesedilo">
    <w:name w:val="annotation text"/>
    <w:basedOn w:val="Navaden"/>
    <w:link w:val="PripombabesediloZnak"/>
    <w:semiHidden/>
    <w:unhideWhenUsed/>
    <w:rsid w:val="005D136B"/>
    <w:pPr>
      <w:spacing w:line="240" w:lineRule="auto"/>
    </w:pPr>
    <w:rPr>
      <w:szCs w:val="20"/>
    </w:rPr>
  </w:style>
  <w:style w:type="character" w:customStyle="1" w:styleId="PripombabesediloZnak">
    <w:name w:val="Pripomba – besedilo Znak"/>
    <w:basedOn w:val="Privzetapisavaodstavka"/>
    <w:link w:val="Pripombabesedilo"/>
    <w:semiHidden/>
    <w:rsid w:val="005D136B"/>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D136B"/>
    <w:rPr>
      <w:b/>
      <w:bCs/>
    </w:rPr>
  </w:style>
  <w:style w:type="character" w:customStyle="1" w:styleId="ZadevapripombeZnak">
    <w:name w:val="Zadeva pripombe Znak"/>
    <w:basedOn w:val="PripombabesediloZnak"/>
    <w:link w:val="Zadevapripombe"/>
    <w:semiHidden/>
    <w:rsid w:val="005D136B"/>
    <w:rPr>
      <w:rFonts w:ascii="Arial" w:hAnsi="Arial"/>
      <w:b/>
      <w:bCs/>
      <w:lang w:val="en-US" w:eastAsia="en-US"/>
    </w:rPr>
  </w:style>
  <w:style w:type="character" w:styleId="SledenaHiperpovezava">
    <w:name w:val="FollowedHyperlink"/>
    <w:basedOn w:val="Privzetapisavaodstavka"/>
    <w:semiHidden/>
    <w:unhideWhenUsed/>
    <w:rsid w:val="000C2E44"/>
    <w:rPr>
      <w:color w:val="800080" w:themeColor="followedHyperlink"/>
      <w:u w:val="single"/>
    </w:rPr>
  </w:style>
  <w:style w:type="paragraph" w:styleId="Sprotnaopomba-besedilo">
    <w:name w:val="footnote text"/>
    <w:basedOn w:val="Navaden"/>
    <w:link w:val="Sprotnaopomba-besediloZnak"/>
    <w:rsid w:val="00EF60EA"/>
    <w:rPr>
      <w:szCs w:val="20"/>
    </w:rPr>
  </w:style>
  <w:style w:type="character" w:customStyle="1" w:styleId="Sprotnaopomba-besediloZnak">
    <w:name w:val="Sprotna opomba - besedilo Znak"/>
    <w:basedOn w:val="Privzetapisavaodstavka"/>
    <w:link w:val="Sprotnaopomba-besedilo"/>
    <w:rsid w:val="00EF60EA"/>
    <w:rPr>
      <w:rFonts w:ascii="Arial" w:hAnsi="Arial"/>
      <w:lang w:val="en-US" w:eastAsia="en-US"/>
    </w:rPr>
  </w:style>
  <w:style w:type="character" w:styleId="Sprotnaopomba-sklic">
    <w:name w:val="footnote reference"/>
    <w:rsid w:val="00EF6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02B9-2E10-4072-A316-7A2BCA1C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2019-08-07T16:27:00Z</dcterms:created>
  <dcterms:modified xsi:type="dcterms:W3CDTF">2019-08-07T17:21:00Z</dcterms:modified>
</cp:coreProperties>
</file>