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8BA9B" w14:textId="77777777" w:rsidR="000A2C92" w:rsidRPr="00BC2517" w:rsidRDefault="000A2C92" w:rsidP="00DC6A71">
      <w:pPr>
        <w:pStyle w:val="datumtevilka"/>
      </w:pPr>
      <w:bookmarkStart w:id="0" w:name="NazivSubjekta"/>
      <w:bookmarkEnd w:id="0"/>
    </w:p>
    <w:p w14:paraId="4A88BAC4" w14:textId="77777777" w:rsidR="00F02E53" w:rsidRPr="00BC2517" w:rsidRDefault="00F02E53" w:rsidP="003E1C74">
      <w:pPr>
        <w:pStyle w:val="podpisi"/>
        <w:rPr>
          <w:lang w:val="sl-SI"/>
        </w:rPr>
      </w:pPr>
    </w:p>
    <w:p w14:paraId="4A88BAC5" w14:textId="77777777" w:rsidR="00F02E53" w:rsidRDefault="00F02E53" w:rsidP="003E1C74">
      <w:pPr>
        <w:pStyle w:val="podpisi"/>
        <w:rPr>
          <w:lang w:val="sl-SI"/>
        </w:rPr>
      </w:pPr>
    </w:p>
    <w:p w14:paraId="290413B0" w14:textId="77777777" w:rsidR="00093380" w:rsidRDefault="00093380" w:rsidP="003E1C74">
      <w:pPr>
        <w:pStyle w:val="podpisi"/>
        <w:rPr>
          <w:lang w:val="sl-SI"/>
        </w:rPr>
      </w:pPr>
    </w:p>
    <w:p w14:paraId="7981E502" w14:textId="77777777" w:rsidR="00093380" w:rsidRDefault="00093380" w:rsidP="003E1C74">
      <w:pPr>
        <w:pStyle w:val="podpisi"/>
        <w:rPr>
          <w:lang w:val="sl-SI"/>
        </w:rPr>
      </w:pPr>
    </w:p>
    <w:p w14:paraId="5E483308" w14:textId="5A83BF9F" w:rsidR="00093380" w:rsidRPr="00D516AA" w:rsidRDefault="00093380" w:rsidP="00093380">
      <w:pPr>
        <w:pStyle w:val="ZADEVA"/>
        <w:spacing w:line="260" w:lineRule="atLeast"/>
        <w:rPr>
          <w:rFonts w:cs="Arial"/>
          <w:szCs w:val="20"/>
          <w:lang w:val="sl-SI"/>
        </w:rPr>
      </w:pPr>
      <w:bookmarkStart w:id="1" w:name="_GoBack"/>
      <w:r w:rsidRPr="00D516AA">
        <w:rPr>
          <w:rFonts w:cs="Arial"/>
          <w:szCs w:val="20"/>
          <w:lang w:val="sl-SI"/>
        </w:rPr>
        <w:t>Prehranska dopolnila in stopnja DDV</w:t>
      </w:r>
      <w:bookmarkEnd w:id="1"/>
      <w:r w:rsidRPr="00D516AA">
        <w:rPr>
          <w:rFonts w:cs="Arial"/>
          <w:szCs w:val="20"/>
          <w:lang w:val="sl-SI"/>
        </w:rPr>
        <w:t xml:space="preserve"> </w:t>
      </w:r>
    </w:p>
    <w:p w14:paraId="3FF56E71" w14:textId="77777777" w:rsidR="002C390D" w:rsidRDefault="002C390D" w:rsidP="002C390D">
      <w:pPr>
        <w:pStyle w:val="Default"/>
      </w:pPr>
    </w:p>
    <w:p w14:paraId="12DAA9ED" w14:textId="79D5BA1D" w:rsidR="00093380" w:rsidRPr="00FB73DB" w:rsidRDefault="002C390D" w:rsidP="002C390D">
      <w:pPr>
        <w:spacing w:line="260" w:lineRule="atLeast"/>
        <w:rPr>
          <w:rFonts w:cs="Arial"/>
          <w:szCs w:val="20"/>
          <w:lang w:val="sl-SI"/>
        </w:rPr>
      </w:pPr>
      <w:r w:rsidRPr="00FB73DB">
        <w:rPr>
          <w:b/>
          <w:bCs/>
          <w:szCs w:val="20"/>
          <w:lang w:val="sl-SI"/>
        </w:rPr>
        <w:t xml:space="preserve">Pojasnilo FURS, št. </w:t>
      </w:r>
      <w:r w:rsidR="00770DCC">
        <w:rPr>
          <w:b/>
          <w:bCs/>
          <w:szCs w:val="20"/>
          <w:lang w:val="sl-SI"/>
        </w:rPr>
        <w:t xml:space="preserve">4230-506/2018 z dne 6. 6. 2018 </w:t>
      </w:r>
    </w:p>
    <w:p w14:paraId="073B7F82" w14:textId="77777777" w:rsidR="00093380" w:rsidRDefault="00093380" w:rsidP="00093380">
      <w:pPr>
        <w:spacing w:line="260" w:lineRule="atLeast"/>
        <w:rPr>
          <w:rFonts w:cs="Arial"/>
          <w:szCs w:val="20"/>
          <w:lang w:val="sl-SI"/>
        </w:rPr>
      </w:pPr>
    </w:p>
    <w:p w14:paraId="769CD2CB" w14:textId="77777777" w:rsidR="00770DCC" w:rsidRPr="00770DCC" w:rsidRDefault="00770DCC" w:rsidP="00770DCC">
      <w:pPr>
        <w:spacing w:line="260" w:lineRule="atLeast"/>
        <w:jc w:val="both"/>
        <w:rPr>
          <w:rFonts w:cs="Arial"/>
          <w:szCs w:val="20"/>
          <w:lang w:val="sl-SI"/>
        </w:rPr>
      </w:pPr>
      <w:r w:rsidRPr="00770DCC">
        <w:rPr>
          <w:rFonts w:cs="Arial"/>
          <w:szCs w:val="20"/>
          <w:lang w:val="sl-SI"/>
        </w:rPr>
        <w:t>Na vprašanja glede uporabe nižje stopnje DDV za prehranska dopolnila v nadaljevanju pojasnjujemo:</w:t>
      </w:r>
    </w:p>
    <w:p w14:paraId="794F9B32" w14:textId="77777777" w:rsidR="00770DCC" w:rsidRPr="00770DCC" w:rsidRDefault="00770DCC" w:rsidP="00770DCC">
      <w:pPr>
        <w:spacing w:line="260" w:lineRule="atLeast"/>
        <w:rPr>
          <w:rFonts w:cs="Arial"/>
          <w:szCs w:val="20"/>
          <w:lang w:val="sl-SI"/>
        </w:rPr>
      </w:pPr>
    </w:p>
    <w:p w14:paraId="7E01CB44" w14:textId="77777777" w:rsidR="00770DCC" w:rsidRPr="00770DCC" w:rsidRDefault="00770DCC" w:rsidP="00770DCC">
      <w:pPr>
        <w:autoSpaceDE w:val="0"/>
        <w:autoSpaceDN w:val="0"/>
        <w:adjustRightInd w:val="0"/>
        <w:spacing w:line="260" w:lineRule="exact"/>
        <w:jc w:val="both"/>
        <w:rPr>
          <w:rFonts w:cs="Arial"/>
          <w:color w:val="000000"/>
          <w:szCs w:val="20"/>
          <w:lang w:val="sl-SI" w:eastAsia="sl-SI"/>
        </w:rPr>
      </w:pPr>
      <w:r w:rsidRPr="00770DCC">
        <w:rPr>
          <w:rFonts w:cs="Arial"/>
          <w:color w:val="000000"/>
          <w:szCs w:val="20"/>
          <w:lang w:val="sl-SI" w:eastAsia="sl-SI"/>
        </w:rPr>
        <w:t xml:space="preserve">V skladu s 1. točko Priloge I k </w:t>
      </w:r>
      <w:hyperlink r:id="rId8" w:history="1">
        <w:r w:rsidRPr="00770DCC">
          <w:rPr>
            <w:rFonts w:cs="Arial"/>
            <w:color w:val="0000FF"/>
            <w:szCs w:val="20"/>
            <w:u w:val="single"/>
            <w:lang w:val="sl-SI" w:eastAsia="sl-SI"/>
          </w:rPr>
          <w:t>Zakonu o davku na dodano vrednost – ZDDV-1</w:t>
        </w:r>
      </w:hyperlink>
      <w:r w:rsidRPr="00770DCC">
        <w:rPr>
          <w:rFonts w:cs="Arial"/>
          <w:color w:val="000000"/>
          <w:szCs w:val="20"/>
          <w:lang w:val="sl-SI" w:eastAsia="sl-SI"/>
        </w:rPr>
        <w:t xml:space="preserve"> se nižja stopnja DDV uporablja za hrano (vključno s pijačo, razen alkoholnih pijač) za ljudi in živali; žive živali, semena, rastline in primesi, ki so (običajno) namenjene za pripravo hrane; izdelke, ki se (običajno) uporabljajo kot dodatki k hrani ali kot njen nadomestek; pripravo jedi.</w:t>
      </w:r>
    </w:p>
    <w:p w14:paraId="25DFE485" w14:textId="77777777" w:rsidR="00770DCC" w:rsidRPr="00770DCC" w:rsidRDefault="00770DCC" w:rsidP="00770DCC">
      <w:pPr>
        <w:autoSpaceDE w:val="0"/>
        <w:autoSpaceDN w:val="0"/>
        <w:adjustRightInd w:val="0"/>
        <w:spacing w:line="260" w:lineRule="exact"/>
        <w:jc w:val="both"/>
        <w:rPr>
          <w:rFonts w:cs="Arial"/>
          <w:szCs w:val="20"/>
          <w:lang w:val="sl-SI"/>
        </w:rPr>
      </w:pPr>
    </w:p>
    <w:p w14:paraId="194E7CB0" w14:textId="77777777" w:rsidR="00770DCC" w:rsidRPr="00770DCC" w:rsidRDefault="00770DCC" w:rsidP="00770DCC">
      <w:pPr>
        <w:autoSpaceDE w:val="0"/>
        <w:autoSpaceDN w:val="0"/>
        <w:adjustRightInd w:val="0"/>
        <w:spacing w:line="260" w:lineRule="exact"/>
        <w:jc w:val="both"/>
        <w:rPr>
          <w:rFonts w:cs="Arial"/>
          <w:szCs w:val="20"/>
          <w:lang w:val="sl-SI" w:eastAsia="sl-SI"/>
        </w:rPr>
      </w:pPr>
      <w:r w:rsidRPr="00770DCC">
        <w:rPr>
          <w:rFonts w:cs="Arial"/>
          <w:szCs w:val="20"/>
          <w:lang w:val="sl-SI" w:eastAsia="sl-SI"/>
        </w:rPr>
        <w:t xml:space="preserve">Na podlagi prvega odstavka 48. člena </w:t>
      </w:r>
      <w:hyperlink r:id="rId9" w:history="1">
        <w:r w:rsidRPr="00770DCC">
          <w:rPr>
            <w:rFonts w:cs="Arial"/>
            <w:color w:val="0000FF"/>
            <w:szCs w:val="20"/>
            <w:u w:val="single"/>
            <w:lang w:val="sl-SI" w:eastAsia="sl-SI"/>
          </w:rPr>
          <w:t>Pravilnika o izvajanju Zakona o davku na dodano vrednost – pravilnik</w:t>
        </w:r>
      </w:hyperlink>
      <w:r w:rsidRPr="00770DCC">
        <w:rPr>
          <w:rFonts w:cs="Arial"/>
          <w:szCs w:val="20"/>
          <w:lang w:val="sl-SI" w:eastAsia="sl-SI"/>
        </w:rPr>
        <w:t xml:space="preserve"> se med izdelke (blago) iz 1. točke Priloge I k ZDDV-1, za katero je predpisana nižja stopnja DDV, uvrščajo izdelki in kmetijski pridelki, ki so samostojno ali kot dodatki in nadomestki, primerni za zaužitje brez predhodne priprave ali po običajnem postopku priprave hrane kot hrana za ljudi oziroma krma za živali (v nadaljevanju: hrana), ter kmetijski pridelki (semena, rastline in žive živali), ki se pridelujejo z namenom zagotavljanja surovin za pripravo hrane za ljudi oziroma krme za živali in spadajo pod tarifne oznake, navedene v tem odstavku člena.</w:t>
      </w:r>
    </w:p>
    <w:p w14:paraId="73123284" w14:textId="77777777" w:rsidR="00770DCC" w:rsidRPr="00770DCC" w:rsidRDefault="00770DCC" w:rsidP="00770DCC">
      <w:pPr>
        <w:autoSpaceDE w:val="0"/>
        <w:autoSpaceDN w:val="0"/>
        <w:adjustRightInd w:val="0"/>
        <w:spacing w:line="260" w:lineRule="exact"/>
        <w:jc w:val="both"/>
        <w:rPr>
          <w:rFonts w:cs="Arial"/>
          <w:szCs w:val="20"/>
          <w:lang w:val="sl-SI" w:eastAsia="sl-SI"/>
        </w:rPr>
      </w:pPr>
    </w:p>
    <w:p w14:paraId="1C28F634" w14:textId="77777777" w:rsidR="00770DCC" w:rsidRPr="00770DCC" w:rsidRDefault="00770DCC" w:rsidP="00770DCC">
      <w:pPr>
        <w:autoSpaceDE w:val="0"/>
        <w:autoSpaceDN w:val="0"/>
        <w:adjustRightInd w:val="0"/>
        <w:spacing w:line="260" w:lineRule="exact"/>
        <w:jc w:val="both"/>
        <w:rPr>
          <w:rFonts w:cs="Arial"/>
          <w:szCs w:val="20"/>
          <w:lang w:val="sl-SI" w:eastAsia="sl-SI"/>
        </w:rPr>
      </w:pPr>
      <w:r w:rsidRPr="00770DCC">
        <w:rPr>
          <w:rFonts w:cs="Arial"/>
          <w:szCs w:val="20"/>
          <w:lang w:val="sl-SI" w:eastAsia="sl-SI"/>
        </w:rPr>
        <w:t xml:space="preserve">Ne glede na navedbe v prvem odstavku 48. člena pravilnika pa se v skladu z drugim odstavkom 48. člena pravilnika uporabi splošna stopnja DDV za izdelke in kmetijske pridelke, ki so sicer uvrščeni pod eno izmed tarifnih oznak iz prvega odstavka 48. člena pravilnika, vendar se ne uporabljajo kot hrana </w:t>
      </w:r>
      <w:r w:rsidRPr="00770DCC">
        <w:rPr>
          <w:rFonts w:cs="Arial"/>
          <w:szCs w:val="20"/>
          <w:lang w:val="sl-SI" w:eastAsia="sl-SI"/>
        </w:rPr>
        <w:lastRenderedPageBreak/>
        <w:t xml:space="preserve">ali kot surovina za pripravo hrane, niti niso uvrščeni med živali za pitanje ter semena in sadike, ki so namenjene izključno uporabi v kmetijstvu, gozdarstvu in ribištvu, določene v prvem, drugem in tretjem odstavku 55. člena pravilnika. Prav tako se splošna stopnja DDV uporabi za izdelke, ki vsebujejo več kot 0,5 volumskega odstotka alkohola pri </w:t>
      </w:r>
      <w:r w:rsidRPr="00770DCC">
        <w:rPr>
          <w:rFonts w:cs="Arial"/>
          <w:szCs w:val="20"/>
          <w:lang w:val="x-none"/>
        </w:rPr>
        <w:t>20 °C</w:t>
      </w:r>
      <w:r w:rsidRPr="00770DCC">
        <w:rPr>
          <w:rFonts w:cs="Arial"/>
          <w:szCs w:val="20"/>
          <w:lang w:val="sl-SI"/>
        </w:rPr>
        <w:t xml:space="preserve"> </w:t>
      </w:r>
      <w:r w:rsidRPr="00770DCC">
        <w:rPr>
          <w:rFonts w:cs="Arial"/>
          <w:szCs w:val="20"/>
          <w:lang w:val="sl-SI" w:eastAsia="sl-SI"/>
        </w:rPr>
        <w:t>oziroma 0,4 masnega odstotka alkohola v izdelku.</w:t>
      </w:r>
    </w:p>
    <w:p w14:paraId="6A79F34B" w14:textId="77777777" w:rsidR="00770DCC" w:rsidRPr="00770DCC" w:rsidRDefault="00770DCC" w:rsidP="00770DCC">
      <w:pPr>
        <w:autoSpaceDE w:val="0"/>
        <w:autoSpaceDN w:val="0"/>
        <w:adjustRightInd w:val="0"/>
        <w:spacing w:line="260" w:lineRule="exact"/>
        <w:jc w:val="both"/>
        <w:rPr>
          <w:rFonts w:cs="Arial"/>
          <w:szCs w:val="20"/>
          <w:lang w:val="sl-SI" w:eastAsia="sl-SI"/>
        </w:rPr>
      </w:pPr>
    </w:p>
    <w:p w14:paraId="63776C3F" w14:textId="77777777" w:rsidR="00770DCC" w:rsidRPr="00770DCC" w:rsidRDefault="00770DCC" w:rsidP="00770DCC">
      <w:pPr>
        <w:autoSpaceDE w:val="0"/>
        <w:autoSpaceDN w:val="0"/>
        <w:adjustRightInd w:val="0"/>
        <w:spacing w:line="260" w:lineRule="exact"/>
        <w:jc w:val="both"/>
        <w:rPr>
          <w:rFonts w:cs="Arial"/>
          <w:szCs w:val="20"/>
          <w:lang w:val="sl-SI" w:eastAsia="sl-SI"/>
        </w:rPr>
      </w:pPr>
      <w:r w:rsidRPr="00770DCC">
        <w:rPr>
          <w:rFonts w:cs="Arial"/>
          <w:szCs w:val="20"/>
          <w:lang w:val="sl-SI" w:eastAsia="sl-SI"/>
        </w:rPr>
        <w:t>Za prehranska dopolnila, ki sicer na podlagi poimenovanj carinske tarife npr. sodijo med živila, rastline in njihove dele, rastlinske sokove in ekstrakte (in se tudi uvrstijo v eno izmed tarifnih oznak iz prvega odstavka 48. člena pravilnika), vendar se ne uporabljajo kot hrana ali surovina za pripravo hrane, se uporabi splošna stopnja DDV.</w:t>
      </w:r>
    </w:p>
    <w:p w14:paraId="77808B38" w14:textId="77777777" w:rsidR="00770DCC" w:rsidRPr="00770DCC" w:rsidRDefault="00770DCC" w:rsidP="00770DCC">
      <w:pPr>
        <w:autoSpaceDE w:val="0"/>
        <w:autoSpaceDN w:val="0"/>
        <w:adjustRightInd w:val="0"/>
        <w:spacing w:line="260" w:lineRule="exact"/>
        <w:jc w:val="both"/>
        <w:rPr>
          <w:rFonts w:cs="Arial"/>
          <w:szCs w:val="20"/>
          <w:lang w:val="sl-SI" w:eastAsia="sl-SI"/>
        </w:rPr>
      </w:pPr>
    </w:p>
    <w:p w14:paraId="1969D77C" w14:textId="77777777" w:rsidR="00770DCC" w:rsidRPr="00770DCC" w:rsidRDefault="00770DCC" w:rsidP="00770DCC">
      <w:pPr>
        <w:autoSpaceDE w:val="0"/>
        <w:autoSpaceDN w:val="0"/>
        <w:adjustRightInd w:val="0"/>
        <w:spacing w:line="260" w:lineRule="exact"/>
        <w:jc w:val="both"/>
        <w:rPr>
          <w:rFonts w:cs="Arial"/>
          <w:szCs w:val="20"/>
          <w:lang w:val="sl-SI"/>
        </w:rPr>
      </w:pPr>
      <w:r w:rsidRPr="00770DCC">
        <w:rPr>
          <w:rFonts w:cs="Arial"/>
          <w:szCs w:val="20"/>
          <w:lang w:val="sl-SI" w:eastAsia="sl-SI"/>
        </w:rPr>
        <w:t xml:space="preserve">Iz ustaljene sodne prakse Sodišča EU izhaja, da je uporabo nižje stopnje, ki je po </w:t>
      </w:r>
      <w:hyperlink r:id="rId10" w:history="1">
        <w:r w:rsidRPr="00770DCC">
          <w:rPr>
            <w:rFonts w:cs="Arial"/>
            <w:color w:val="0000FF"/>
            <w:szCs w:val="20"/>
            <w:u w:val="single"/>
            <w:lang w:val="sl-SI" w:eastAsia="sl-SI"/>
          </w:rPr>
          <w:t>Direktivi Sveta 2006/112/ES o skupnem sistemu DDV</w:t>
        </w:r>
      </w:hyperlink>
      <w:r w:rsidRPr="00770DCC">
        <w:rPr>
          <w:rFonts w:cs="Arial"/>
          <w:szCs w:val="20"/>
          <w:lang w:val="sl-SI" w:eastAsia="sl-SI"/>
        </w:rPr>
        <w:t xml:space="preserve"> priznana državam članicam, treba razlagati ozko, saj ta predstavlja odstopanje od načela uporabe splošne stopnje DDV. Poleg tega je treba Seznam dobav blaga in storitev iz Priloge III Direktive Sveta 2006/112/ES, za katere se lahko uporabljajo nižje stopnje, razlagati samostojno in enotno v celotni EU, saj ne napotuje izrecno na pravo držav članic. Države članice so tako pri določitvi dobav blaga in storitev, za katere se uporablja nižja stopnja DDV, zavezane spoštovati obrise kategorij, kot so opredeljene v Prilogi III, pri čemer je za vključitev v 1. točko zadevne priloge treba upoštevati še, da so to lahko »živila (vključno s pijačami, razen alkoholnih pijač) za prehrano ljudi in živali; žive živali, semena, rastline in sestavine, ki so običajno namenjene za pripravo živil; proizvodi, ki se običajno uporabljajo kot dodatki ali nadomestki živil«.</w:t>
      </w:r>
    </w:p>
    <w:p w14:paraId="0C7C7882" w14:textId="77777777" w:rsidR="00770DCC" w:rsidRPr="00770DCC" w:rsidRDefault="00770DCC" w:rsidP="00770DCC">
      <w:pPr>
        <w:tabs>
          <w:tab w:val="center" w:pos="6237"/>
        </w:tabs>
        <w:spacing w:line="260" w:lineRule="exact"/>
        <w:jc w:val="both"/>
        <w:rPr>
          <w:rFonts w:cs="Arial"/>
          <w:szCs w:val="20"/>
          <w:lang w:val="sl-SI"/>
        </w:rPr>
      </w:pPr>
      <w:r w:rsidRPr="00770DCC">
        <w:rPr>
          <w:rFonts w:cs="Arial"/>
          <w:szCs w:val="20"/>
          <w:lang w:val="sl-SI"/>
        </w:rPr>
        <w:tab/>
      </w:r>
    </w:p>
    <w:p w14:paraId="1E27B925" w14:textId="77777777" w:rsidR="00770DCC" w:rsidRPr="00770DCC" w:rsidRDefault="00770DCC" w:rsidP="00770DCC">
      <w:pPr>
        <w:autoSpaceDE w:val="0"/>
        <w:autoSpaceDN w:val="0"/>
        <w:adjustRightInd w:val="0"/>
        <w:spacing w:line="260" w:lineRule="exact"/>
        <w:jc w:val="both"/>
        <w:rPr>
          <w:rFonts w:cs="Arial"/>
          <w:b/>
          <w:szCs w:val="20"/>
          <w:lang w:val="sl-SI" w:eastAsia="sl-SI"/>
        </w:rPr>
      </w:pPr>
      <w:r w:rsidRPr="00770DCC">
        <w:rPr>
          <w:rFonts w:cs="Arial"/>
          <w:b/>
          <w:szCs w:val="20"/>
          <w:lang w:val="sl-SI" w:eastAsia="sl-SI"/>
        </w:rPr>
        <w:t>Iz navedenega izhaja, da se nižja stopnja DDV po 1. točki Priloge I k ZDDV-1 uporabi za prehranska dopolnila, ki se uvrstijo v eno izmed tarifnih številk iz prvega odstavka 48. člena pravilnika in se uporabijo kot hrana ali kot surovina za pripravo hrane (npr. se ne uporabljajo v kozmetične namene). Finančna uprava se bo v postopkih nadzora usmerjala predvsem v pravilnost določanja namena uporabe teh izdelkov za obdobja po izdaji tega pojasnila.</w:t>
      </w:r>
    </w:p>
    <w:p w14:paraId="74F67078" w14:textId="77777777" w:rsidR="00770DCC" w:rsidRPr="00770DCC" w:rsidRDefault="00770DCC" w:rsidP="00770DCC">
      <w:pPr>
        <w:autoSpaceDE w:val="0"/>
        <w:autoSpaceDN w:val="0"/>
        <w:adjustRightInd w:val="0"/>
        <w:spacing w:line="260" w:lineRule="exact"/>
        <w:jc w:val="both"/>
        <w:rPr>
          <w:rFonts w:cs="Arial"/>
          <w:b/>
          <w:szCs w:val="20"/>
          <w:lang w:val="sl-SI" w:eastAsia="sl-SI"/>
        </w:rPr>
      </w:pPr>
    </w:p>
    <w:p w14:paraId="2D4595FE" w14:textId="77777777" w:rsidR="00770DCC" w:rsidRPr="00770DCC" w:rsidRDefault="00770DCC" w:rsidP="00770DCC">
      <w:pPr>
        <w:spacing w:line="260" w:lineRule="exact"/>
        <w:jc w:val="both"/>
        <w:rPr>
          <w:rFonts w:cs="Arial"/>
          <w:szCs w:val="20"/>
          <w:lang w:val="sl-SI" w:eastAsia="sl-SI"/>
        </w:rPr>
      </w:pPr>
      <w:r w:rsidRPr="00770DCC">
        <w:rPr>
          <w:rFonts w:cs="Arial"/>
          <w:szCs w:val="20"/>
          <w:lang w:val="sl-SI" w:eastAsia="sl-SI"/>
        </w:rPr>
        <w:lastRenderedPageBreak/>
        <w:t>Navajamo nekaj primerov:</w:t>
      </w:r>
    </w:p>
    <w:p w14:paraId="6198086A" w14:textId="77777777" w:rsidR="00770DCC" w:rsidRPr="00770DCC" w:rsidRDefault="00770DCC" w:rsidP="00770DCC">
      <w:pPr>
        <w:spacing w:line="260" w:lineRule="exact"/>
        <w:jc w:val="both"/>
        <w:rPr>
          <w:rFonts w:cs="Arial"/>
          <w:szCs w:val="20"/>
          <w:lang w:val="sl-SI" w:eastAsia="sl-SI"/>
        </w:rPr>
      </w:pPr>
    </w:p>
    <w:tbl>
      <w:tblPr>
        <w:tblStyle w:val="Tabelamrea"/>
        <w:tblW w:w="0" w:type="auto"/>
        <w:tblLook w:val="04A0" w:firstRow="1" w:lastRow="0" w:firstColumn="1" w:lastColumn="0" w:noHBand="0" w:noVBand="1"/>
      </w:tblPr>
      <w:tblGrid>
        <w:gridCol w:w="2960"/>
        <w:gridCol w:w="3006"/>
        <w:gridCol w:w="2955"/>
      </w:tblGrid>
      <w:tr w:rsidR="00770DCC" w:rsidRPr="00770DCC" w14:paraId="356FC317" w14:textId="77777777" w:rsidTr="00513D1F">
        <w:tc>
          <w:tcPr>
            <w:tcW w:w="2960" w:type="dxa"/>
            <w:shd w:val="clear" w:color="auto" w:fill="BFBFBF" w:themeFill="background1" w:themeFillShade="BF"/>
          </w:tcPr>
          <w:p w14:paraId="2087ADDD" w14:textId="77777777" w:rsidR="00770DCC" w:rsidRPr="00770DCC" w:rsidRDefault="00770DCC" w:rsidP="00770DCC">
            <w:pPr>
              <w:spacing w:line="260" w:lineRule="atLeast"/>
              <w:rPr>
                <w:b/>
                <w:sz w:val="20"/>
                <w:szCs w:val="20"/>
                <w:lang w:val="sl-SI"/>
              </w:rPr>
            </w:pPr>
            <w:r w:rsidRPr="00770DCC">
              <w:rPr>
                <w:b/>
                <w:sz w:val="20"/>
                <w:szCs w:val="20"/>
                <w:lang w:val="sl-SI"/>
              </w:rPr>
              <w:t>Ime proizvoda</w:t>
            </w:r>
          </w:p>
        </w:tc>
        <w:tc>
          <w:tcPr>
            <w:tcW w:w="3006" w:type="dxa"/>
            <w:shd w:val="clear" w:color="auto" w:fill="BFBFBF" w:themeFill="background1" w:themeFillShade="BF"/>
          </w:tcPr>
          <w:p w14:paraId="1025CB95" w14:textId="77777777" w:rsidR="00770DCC" w:rsidRPr="00770DCC" w:rsidRDefault="00770DCC" w:rsidP="00770DCC">
            <w:pPr>
              <w:spacing w:line="260" w:lineRule="atLeast"/>
              <w:rPr>
                <w:b/>
                <w:sz w:val="20"/>
                <w:szCs w:val="20"/>
                <w:lang w:val="sl-SI"/>
              </w:rPr>
            </w:pPr>
            <w:r w:rsidRPr="00770DCC">
              <w:rPr>
                <w:b/>
                <w:sz w:val="20"/>
                <w:szCs w:val="20"/>
                <w:lang w:val="sl-SI"/>
              </w:rPr>
              <w:t>Oznaka KN</w:t>
            </w:r>
          </w:p>
        </w:tc>
        <w:tc>
          <w:tcPr>
            <w:tcW w:w="2955" w:type="dxa"/>
            <w:shd w:val="clear" w:color="auto" w:fill="BFBFBF" w:themeFill="background1" w:themeFillShade="BF"/>
          </w:tcPr>
          <w:p w14:paraId="14FFD3DF" w14:textId="77777777" w:rsidR="00770DCC" w:rsidRPr="00770DCC" w:rsidRDefault="00770DCC" w:rsidP="00770DCC">
            <w:pPr>
              <w:spacing w:line="260" w:lineRule="atLeast"/>
              <w:rPr>
                <w:b/>
                <w:sz w:val="20"/>
                <w:szCs w:val="20"/>
                <w:lang w:val="sl-SI"/>
              </w:rPr>
            </w:pPr>
            <w:r w:rsidRPr="00770DCC">
              <w:rPr>
                <w:b/>
                <w:sz w:val="20"/>
                <w:szCs w:val="20"/>
                <w:lang w:val="sl-SI"/>
              </w:rPr>
              <w:t>DDV</w:t>
            </w:r>
          </w:p>
        </w:tc>
      </w:tr>
      <w:tr w:rsidR="00770DCC" w:rsidRPr="00770DCC" w14:paraId="0B0EE8F2" w14:textId="77777777" w:rsidTr="00513D1F">
        <w:tc>
          <w:tcPr>
            <w:tcW w:w="2960" w:type="dxa"/>
          </w:tcPr>
          <w:p w14:paraId="1B9C2239" w14:textId="77777777" w:rsidR="00770DCC" w:rsidRPr="00770DCC" w:rsidRDefault="00770DCC" w:rsidP="00770DCC">
            <w:pPr>
              <w:spacing w:line="260" w:lineRule="atLeast"/>
              <w:rPr>
                <w:sz w:val="20"/>
                <w:szCs w:val="20"/>
                <w:lang w:val="sl-SI"/>
              </w:rPr>
            </w:pPr>
            <w:r w:rsidRPr="00770DCC">
              <w:rPr>
                <w:sz w:val="20"/>
                <w:szCs w:val="20"/>
                <w:lang w:val="sl-SI"/>
              </w:rPr>
              <w:t>beljakovinski pripravki (s katerimi se nadomešča obroke)</w:t>
            </w:r>
          </w:p>
        </w:tc>
        <w:tc>
          <w:tcPr>
            <w:tcW w:w="3006" w:type="dxa"/>
          </w:tcPr>
          <w:p w14:paraId="4FD9A884" w14:textId="77777777" w:rsidR="00770DCC" w:rsidRPr="00770DCC" w:rsidRDefault="00770DCC" w:rsidP="00770DCC">
            <w:pPr>
              <w:spacing w:line="260" w:lineRule="atLeast"/>
              <w:rPr>
                <w:sz w:val="20"/>
                <w:szCs w:val="20"/>
                <w:lang w:val="sl-SI"/>
              </w:rPr>
            </w:pPr>
            <w:r w:rsidRPr="00770DCC">
              <w:rPr>
                <w:sz w:val="20"/>
                <w:szCs w:val="20"/>
                <w:lang w:val="sl-SI"/>
              </w:rPr>
              <w:t>Brez natančne sestave se lahko določi le 4 mestna oznaka 2106</w:t>
            </w:r>
          </w:p>
        </w:tc>
        <w:tc>
          <w:tcPr>
            <w:tcW w:w="2955" w:type="dxa"/>
          </w:tcPr>
          <w:p w14:paraId="6C22B88D" w14:textId="77777777" w:rsidR="00770DCC" w:rsidRPr="00770DCC" w:rsidRDefault="00770DCC" w:rsidP="00770DCC">
            <w:pPr>
              <w:spacing w:line="260" w:lineRule="atLeast"/>
              <w:rPr>
                <w:sz w:val="20"/>
                <w:szCs w:val="20"/>
                <w:lang w:val="sl-SI"/>
              </w:rPr>
            </w:pPr>
            <w:r w:rsidRPr="00770DCC">
              <w:rPr>
                <w:sz w:val="20"/>
                <w:szCs w:val="20"/>
                <w:lang w:val="sl-SI"/>
              </w:rPr>
              <w:t>9,5 %</w:t>
            </w:r>
          </w:p>
        </w:tc>
      </w:tr>
      <w:tr w:rsidR="00770DCC" w:rsidRPr="00770DCC" w14:paraId="1B1C06B6" w14:textId="77777777" w:rsidTr="00513D1F">
        <w:tc>
          <w:tcPr>
            <w:tcW w:w="2960" w:type="dxa"/>
          </w:tcPr>
          <w:p w14:paraId="560B38CC" w14:textId="77777777" w:rsidR="00770DCC" w:rsidRPr="00770DCC" w:rsidRDefault="00770DCC" w:rsidP="00770DCC">
            <w:pPr>
              <w:spacing w:line="260" w:lineRule="atLeast"/>
              <w:rPr>
                <w:sz w:val="20"/>
                <w:szCs w:val="20"/>
                <w:lang w:val="sl-SI"/>
              </w:rPr>
            </w:pPr>
            <w:r w:rsidRPr="00770DCC">
              <w:rPr>
                <w:sz w:val="20"/>
                <w:szCs w:val="20"/>
                <w:lang w:val="sl-SI"/>
              </w:rPr>
              <w:t>šumeče tablete magnezij</w:t>
            </w:r>
          </w:p>
        </w:tc>
        <w:tc>
          <w:tcPr>
            <w:tcW w:w="3006" w:type="dxa"/>
          </w:tcPr>
          <w:p w14:paraId="078EBC62" w14:textId="77777777" w:rsidR="00770DCC" w:rsidRPr="00770DCC" w:rsidRDefault="00770DCC" w:rsidP="00770DCC">
            <w:pPr>
              <w:spacing w:line="260" w:lineRule="atLeast"/>
              <w:rPr>
                <w:sz w:val="20"/>
                <w:szCs w:val="20"/>
                <w:lang w:val="sl-SI"/>
              </w:rPr>
            </w:pPr>
            <w:r w:rsidRPr="00770DCC">
              <w:rPr>
                <w:sz w:val="20"/>
                <w:szCs w:val="20"/>
                <w:lang w:val="sl-SI"/>
              </w:rPr>
              <w:t>2106 90 92 ali 2106 90 98 (odvisno od vsebnosti sladkorja/škroba/mlečnih maščob)</w:t>
            </w:r>
          </w:p>
        </w:tc>
        <w:tc>
          <w:tcPr>
            <w:tcW w:w="2955" w:type="dxa"/>
          </w:tcPr>
          <w:p w14:paraId="09DDC004" w14:textId="77777777" w:rsidR="00770DCC" w:rsidRPr="00770DCC" w:rsidRDefault="00770DCC" w:rsidP="00770DCC">
            <w:pPr>
              <w:spacing w:line="260" w:lineRule="atLeast"/>
              <w:rPr>
                <w:sz w:val="20"/>
                <w:szCs w:val="20"/>
                <w:lang w:val="sl-SI"/>
              </w:rPr>
            </w:pPr>
            <w:r w:rsidRPr="00770DCC">
              <w:rPr>
                <w:sz w:val="20"/>
                <w:szCs w:val="20"/>
                <w:lang w:val="sl-SI"/>
              </w:rPr>
              <w:t xml:space="preserve">9,5 % </w:t>
            </w:r>
          </w:p>
        </w:tc>
      </w:tr>
      <w:tr w:rsidR="00770DCC" w:rsidRPr="00770DCC" w14:paraId="4A08CB60" w14:textId="77777777" w:rsidTr="00513D1F">
        <w:tc>
          <w:tcPr>
            <w:tcW w:w="2960" w:type="dxa"/>
          </w:tcPr>
          <w:p w14:paraId="1D3A42DF" w14:textId="77777777" w:rsidR="00770DCC" w:rsidRPr="00770DCC" w:rsidRDefault="00770DCC" w:rsidP="00770DCC">
            <w:pPr>
              <w:spacing w:line="260" w:lineRule="atLeast"/>
              <w:rPr>
                <w:sz w:val="20"/>
                <w:szCs w:val="20"/>
                <w:lang w:val="sl-SI"/>
              </w:rPr>
            </w:pPr>
            <w:r w:rsidRPr="00770DCC">
              <w:rPr>
                <w:sz w:val="20"/>
                <w:szCs w:val="20"/>
                <w:lang w:val="sl-SI"/>
              </w:rPr>
              <w:t>vitamin C v obliki šumečih tablet</w:t>
            </w:r>
          </w:p>
        </w:tc>
        <w:tc>
          <w:tcPr>
            <w:tcW w:w="3006" w:type="dxa"/>
          </w:tcPr>
          <w:p w14:paraId="5F2414D0" w14:textId="77777777" w:rsidR="00770DCC" w:rsidRPr="00770DCC" w:rsidRDefault="00770DCC" w:rsidP="00770DCC">
            <w:pPr>
              <w:spacing w:line="260" w:lineRule="atLeast"/>
              <w:rPr>
                <w:sz w:val="20"/>
                <w:szCs w:val="20"/>
                <w:lang w:val="sl-SI"/>
              </w:rPr>
            </w:pPr>
            <w:r w:rsidRPr="00770DCC">
              <w:rPr>
                <w:sz w:val="20"/>
                <w:szCs w:val="20"/>
                <w:lang w:val="sl-SI"/>
              </w:rPr>
              <w:t>2106 90 92 ali 2106 90 98 (odvisno od vsebnosti sladkorja/škroba/mlečnih maščob)</w:t>
            </w:r>
          </w:p>
        </w:tc>
        <w:tc>
          <w:tcPr>
            <w:tcW w:w="2955" w:type="dxa"/>
          </w:tcPr>
          <w:p w14:paraId="063F6B6C" w14:textId="77777777" w:rsidR="00770DCC" w:rsidRPr="00770DCC" w:rsidRDefault="00770DCC" w:rsidP="00770DCC">
            <w:pPr>
              <w:spacing w:line="260" w:lineRule="atLeast"/>
              <w:rPr>
                <w:sz w:val="20"/>
                <w:szCs w:val="20"/>
                <w:lang w:val="sl-SI"/>
              </w:rPr>
            </w:pPr>
            <w:r w:rsidRPr="00770DCC">
              <w:rPr>
                <w:sz w:val="20"/>
                <w:szCs w:val="20"/>
                <w:lang w:val="sl-SI"/>
              </w:rPr>
              <w:t>9,5 %</w:t>
            </w:r>
          </w:p>
        </w:tc>
      </w:tr>
      <w:tr w:rsidR="00770DCC" w:rsidRPr="00770DCC" w14:paraId="103734E3" w14:textId="77777777" w:rsidTr="00513D1F">
        <w:tc>
          <w:tcPr>
            <w:tcW w:w="2960" w:type="dxa"/>
          </w:tcPr>
          <w:p w14:paraId="4E6F041B" w14:textId="77777777" w:rsidR="00770DCC" w:rsidRPr="00770DCC" w:rsidRDefault="00770DCC" w:rsidP="00770DCC">
            <w:pPr>
              <w:spacing w:line="260" w:lineRule="atLeast"/>
              <w:rPr>
                <w:sz w:val="20"/>
                <w:szCs w:val="20"/>
                <w:lang w:val="sl-SI"/>
              </w:rPr>
            </w:pPr>
            <w:r w:rsidRPr="00770DCC">
              <w:rPr>
                <w:sz w:val="20"/>
                <w:szCs w:val="20"/>
                <w:lang w:val="sl-SI"/>
              </w:rPr>
              <w:t>pesin sok</w:t>
            </w:r>
          </w:p>
        </w:tc>
        <w:tc>
          <w:tcPr>
            <w:tcW w:w="3006" w:type="dxa"/>
          </w:tcPr>
          <w:p w14:paraId="13FD5EAC" w14:textId="77777777" w:rsidR="00770DCC" w:rsidRPr="00770DCC" w:rsidRDefault="00770DCC" w:rsidP="00770DCC">
            <w:pPr>
              <w:spacing w:line="260" w:lineRule="atLeast"/>
              <w:rPr>
                <w:sz w:val="20"/>
                <w:szCs w:val="20"/>
                <w:lang w:val="sl-SI"/>
              </w:rPr>
            </w:pPr>
            <w:r w:rsidRPr="00770DCC">
              <w:rPr>
                <w:sz w:val="20"/>
                <w:szCs w:val="20"/>
                <w:lang w:val="sl-SI"/>
              </w:rPr>
              <w:t xml:space="preserve">2202 99 19 (običajno je </w:t>
            </w:r>
            <w:proofErr w:type="spellStart"/>
            <w:r w:rsidRPr="00770DCC">
              <w:rPr>
                <w:sz w:val="20"/>
                <w:szCs w:val="20"/>
                <w:lang w:val="sl-SI"/>
              </w:rPr>
              <w:t>laktofermentiran</w:t>
            </w:r>
            <w:proofErr w:type="spellEnd"/>
            <w:r w:rsidRPr="00770DCC">
              <w:rPr>
                <w:sz w:val="20"/>
                <w:szCs w:val="20"/>
                <w:lang w:val="sl-SI"/>
              </w:rPr>
              <w:t>)</w:t>
            </w:r>
          </w:p>
        </w:tc>
        <w:tc>
          <w:tcPr>
            <w:tcW w:w="2955" w:type="dxa"/>
          </w:tcPr>
          <w:p w14:paraId="7A259E4F" w14:textId="77777777" w:rsidR="00770DCC" w:rsidRPr="00770DCC" w:rsidRDefault="00770DCC" w:rsidP="00770DCC">
            <w:pPr>
              <w:spacing w:line="260" w:lineRule="atLeast"/>
              <w:rPr>
                <w:sz w:val="20"/>
                <w:szCs w:val="20"/>
                <w:lang w:val="sl-SI"/>
              </w:rPr>
            </w:pPr>
            <w:r w:rsidRPr="00770DCC">
              <w:rPr>
                <w:sz w:val="20"/>
                <w:szCs w:val="20"/>
                <w:lang w:val="sl-SI"/>
              </w:rPr>
              <w:t xml:space="preserve">9,5 % </w:t>
            </w:r>
          </w:p>
        </w:tc>
      </w:tr>
      <w:tr w:rsidR="00770DCC" w:rsidRPr="00476FE6" w14:paraId="3A7D03DF" w14:textId="77777777" w:rsidTr="00513D1F">
        <w:tc>
          <w:tcPr>
            <w:tcW w:w="2960" w:type="dxa"/>
          </w:tcPr>
          <w:p w14:paraId="30F4A96E" w14:textId="77777777" w:rsidR="00770DCC" w:rsidRPr="00770DCC" w:rsidRDefault="00770DCC" w:rsidP="00770DCC">
            <w:pPr>
              <w:spacing w:line="260" w:lineRule="atLeast"/>
              <w:rPr>
                <w:sz w:val="20"/>
                <w:szCs w:val="20"/>
                <w:lang w:val="sl-SI"/>
              </w:rPr>
            </w:pPr>
            <w:r w:rsidRPr="00770DCC">
              <w:rPr>
                <w:sz w:val="20"/>
                <w:szCs w:val="20"/>
                <w:lang w:val="sl-SI"/>
              </w:rPr>
              <w:t>borovnice v prahu</w:t>
            </w:r>
          </w:p>
        </w:tc>
        <w:tc>
          <w:tcPr>
            <w:tcW w:w="3006" w:type="dxa"/>
          </w:tcPr>
          <w:p w14:paraId="3514A6F2" w14:textId="77777777" w:rsidR="00770DCC" w:rsidRPr="00770DCC" w:rsidRDefault="00770DCC" w:rsidP="00770DCC">
            <w:pPr>
              <w:spacing w:line="260" w:lineRule="atLeast"/>
              <w:rPr>
                <w:sz w:val="20"/>
                <w:szCs w:val="20"/>
                <w:lang w:val="sl-SI"/>
              </w:rPr>
            </w:pPr>
            <w:r w:rsidRPr="00770DCC">
              <w:rPr>
                <w:sz w:val="20"/>
                <w:szCs w:val="20"/>
                <w:lang w:val="sl-SI"/>
              </w:rPr>
              <w:t>1106 30 90 (čiste), če gre za preparat 2106 90 92 ali 2106 90 98 (odvisno od vsebnosti sladkorja/škroba/mlečnih maščob)</w:t>
            </w:r>
          </w:p>
        </w:tc>
        <w:tc>
          <w:tcPr>
            <w:tcW w:w="2955" w:type="dxa"/>
          </w:tcPr>
          <w:p w14:paraId="74555E6A" w14:textId="77777777" w:rsidR="00770DCC" w:rsidRPr="00770DCC" w:rsidRDefault="00770DCC" w:rsidP="00770DCC">
            <w:pPr>
              <w:spacing w:line="260" w:lineRule="atLeast"/>
              <w:rPr>
                <w:sz w:val="20"/>
                <w:szCs w:val="20"/>
                <w:lang w:val="sl-SI"/>
              </w:rPr>
            </w:pPr>
            <w:r w:rsidRPr="00770DCC">
              <w:rPr>
                <w:sz w:val="20"/>
                <w:szCs w:val="20"/>
                <w:lang w:val="sl-SI"/>
              </w:rPr>
              <w:t xml:space="preserve">če </w:t>
            </w:r>
            <w:r w:rsidRPr="00770DCC">
              <w:rPr>
                <w:rFonts w:cs="Arial"/>
                <w:sz w:val="20"/>
                <w:szCs w:val="20"/>
                <w:lang w:val="sl-SI" w:eastAsia="sl-SI"/>
              </w:rPr>
              <w:t xml:space="preserve">se uporabijo kot hrana ali kot surovina za pripravo hrane </w:t>
            </w:r>
            <w:r w:rsidRPr="00770DCC">
              <w:rPr>
                <w:sz w:val="20"/>
                <w:szCs w:val="20"/>
                <w:lang w:val="sl-SI"/>
              </w:rPr>
              <w:t>– 9,5 %, če se uporabijo npr. v kozmetične namene – 22 %.</w:t>
            </w:r>
          </w:p>
          <w:p w14:paraId="0A13F3CF" w14:textId="77777777" w:rsidR="00770DCC" w:rsidRPr="00770DCC" w:rsidRDefault="00770DCC" w:rsidP="00770DCC">
            <w:pPr>
              <w:spacing w:line="260" w:lineRule="atLeast"/>
              <w:rPr>
                <w:sz w:val="20"/>
                <w:szCs w:val="20"/>
                <w:lang w:val="sl-SI"/>
              </w:rPr>
            </w:pPr>
          </w:p>
        </w:tc>
      </w:tr>
      <w:tr w:rsidR="00770DCC" w:rsidRPr="00770DCC" w14:paraId="228EC29A" w14:textId="77777777" w:rsidTr="00513D1F">
        <w:tc>
          <w:tcPr>
            <w:tcW w:w="2960" w:type="dxa"/>
            <w:hideMark/>
          </w:tcPr>
          <w:p w14:paraId="690A5A46" w14:textId="77777777" w:rsidR="00770DCC" w:rsidRPr="00770DCC" w:rsidRDefault="00770DCC" w:rsidP="00770DCC">
            <w:pPr>
              <w:spacing w:line="260" w:lineRule="atLeast"/>
              <w:rPr>
                <w:rFonts w:ascii="Calibri" w:hAnsi="Calibri"/>
                <w:sz w:val="20"/>
                <w:szCs w:val="20"/>
                <w:lang w:val="sl-SI"/>
              </w:rPr>
            </w:pPr>
            <w:r w:rsidRPr="00770DCC">
              <w:rPr>
                <w:sz w:val="20"/>
                <w:szCs w:val="20"/>
                <w:lang w:val="sl-SI"/>
              </w:rPr>
              <w:t>tablete za lase</w:t>
            </w:r>
          </w:p>
        </w:tc>
        <w:tc>
          <w:tcPr>
            <w:tcW w:w="3006" w:type="dxa"/>
            <w:hideMark/>
          </w:tcPr>
          <w:p w14:paraId="4D362E95" w14:textId="77777777" w:rsidR="00770DCC" w:rsidRPr="00770DCC" w:rsidRDefault="00770DCC" w:rsidP="00770DCC">
            <w:pPr>
              <w:spacing w:line="260" w:lineRule="atLeast"/>
              <w:rPr>
                <w:sz w:val="20"/>
                <w:szCs w:val="20"/>
                <w:lang w:val="sl-SI"/>
              </w:rPr>
            </w:pPr>
            <w:r w:rsidRPr="00770DCC">
              <w:rPr>
                <w:sz w:val="20"/>
                <w:szCs w:val="20"/>
                <w:lang w:val="sl-SI"/>
              </w:rPr>
              <w:t>2106 90 92 ali 2106 90 98 (odvisno od vsebnosti sladkorja/škroba/mlečnih maščob)</w:t>
            </w:r>
          </w:p>
        </w:tc>
        <w:tc>
          <w:tcPr>
            <w:tcW w:w="2955" w:type="dxa"/>
          </w:tcPr>
          <w:p w14:paraId="32A5ED56" w14:textId="77777777" w:rsidR="00770DCC" w:rsidRPr="00770DCC" w:rsidRDefault="00770DCC" w:rsidP="00770DCC">
            <w:pPr>
              <w:spacing w:line="260" w:lineRule="atLeast"/>
              <w:rPr>
                <w:sz w:val="20"/>
                <w:szCs w:val="20"/>
                <w:highlight w:val="yellow"/>
                <w:lang w:val="sl-SI"/>
              </w:rPr>
            </w:pPr>
            <w:r w:rsidRPr="00770DCC">
              <w:rPr>
                <w:sz w:val="20"/>
                <w:szCs w:val="20"/>
                <w:lang w:val="sl-SI"/>
              </w:rPr>
              <w:t>9,5 %</w:t>
            </w:r>
          </w:p>
        </w:tc>
      </w:tr>
      <w:tr w:rsidR="00770DCC" w:rsidRPr="00770DCC" w14:paraId="58D8CCE7" w14:textId="77777777" w:rsidTr="00513D1F">
        <w:tc>
          <w:tcPr>
            <w:tcW w:w="2960" w:type="dxa"/>
            <w:hideMark/>
          </w:tcPr>
          <w:p w14:paraId="59CC56ED" w14:textId="77777777" w:rsidR="00770DCC" w:rsidRPr="00770DCC" w:rsidRDefault="00770DCC" w:rsidP="00770DCC">
            <w:pPr>
              <w:spacing w:line="260" w:lineRule="atLeast"/>
              <w:rPr>
                <w:rFonts w:ascii="Calibri" w:hAnsi="Calibri"/>
                <w:sz w:val="20"/>
                <w:szCs w:val="20"/>
                <w:lang w:val="sl-SI"/>
              </w:rPr>
            </w:pPr>
            <w:r w:rsidRPr="00770DCC">
              <w:rPr>
                <w:sz w:val="20"/>
                <w:szCs w:val="20"/>
                <w:lang w:val="sl-SI"/>
              </w:rPr>
              <w:t>magnezijev granulat</w:t>
            </w:r>
          </w:p>
        </w:tc>
        <w:tc>
          <w:tcPr>
            <w:tcW w:w="3006" w:type="dxa"/>
            <w:hideMark/>
          </w:tcPr>
          <w:p w14:paraId="0F2F98CB" w14:textId="77777777" w:rsidR="00770DCC" w:rsidRPr="00770DCC" w:rsidRDefault="00770DCC" w:rsidP="00770DCC">
            <w:pPr>
              <w:spacing w:line="260" w:lineRule="atLeast"/>
              <w:rPr>
                <w:sz w:val="20"/>
                <w:szCs w:val="20"/>
                <w:lang w:val="sl-SI"/>
              </w:rPr>
            </w:pPr>
            <w:r w:rsidRPr="00770DCC">
              <w:rPr>
                <w:sz w:val="20"/>
                <w:szCs w:val="20"/>
                <w:lang w:val="sl-SI"/>
              </w:rPr>
              <w:t>2106 90 92 ali 2106 90 98 (odvisno od vsebnosti sladkorja/škroba/mlečnih maščob)</w:t>
            </w:r>
          </w:p>
        </w:tc>
        <w:tc>
          <w:tcPr>
            <w:tcW w:w="2955" w:type="dxa"/>
          </w:tcPr>
          <w:p w14:paraId="30055D4B" w14:textId="77777777" w:rsidR="00770DCC" w:rsidRPr="00770DCC" w:rsidRDefault="00770DCC" w:rsidP="00770DCC">
            <w:pPr>
              <w:spacing w:line="260" w:lineRule="atLeast"/>
              <w:rPr>
                <w:sz w:val="20"/>
                <w:szCs w:val="20"/>
                <w:highlight w:val="yellow"/>
                <w:lang w:val="sl-SI"/>
              </w:rPr>
            </w:pPr>
            <w:r w:rsidRPr="00770DCC">
              <w:rPr>
                <w:sz w:val="20"/>
                <w:szCs w:val="20"/>
                <w:lang w:val="sl-SI"/>
              </w:rPr>
              <w:t>9,5 %</w:t>
            </w:r>
          </w:p>
        </w:tc>
      </w:tr>
      <w:tr w:rsidR="00770DCC" w:rsidRPr="00770DCC" w14:paraId="6874BC32" w14:textId="77777777" w:rsidTr="00513D1F">
        <w:tc>
          <w:tcPr>
            <w:tcW w:w="2960" w:type="dxa"/>
            <w:hideMark/>
          </w:tcPr>
          <w:p w14:paraId="10399EC6" w14:textId="77777777" w:rsidR="00770DCC" w:rsidRPr="00770DCC" w:rsidRDefault="00770DCC" w:rsidP="00770DCC">
            <w:pPr>
              <w:spacing w:line="260" w:lineRule="atLeast"/>
              <w:rPr>
                <w:rFonts w:ascii="Calibri" w:hAnsi="Calibri"/>
                <w:sz w:val="20"/>
                <w:szCs w:val="20"/>
                <w:lang w:val="sl-SI"/>
              </w:rPr>
            </w:pPr>
            <w:r w:rsidRPr="00770DCC">
              <w:rPr>
                <w:sz w:val="20"/>
                <w:szCs w:val="20"/>
                <w:lang w:val="sl-SI"/>
              </w:rPr>
              <w:t>kolagen v kapsulah</w:t>
            </w:r>
          </w:p>
        </w:tc>
        <w:tc>
          <w:tcPr>
            <w:tcW w:w="3006" w:type="dxa"/>
            <w:hideMark/>
          </w:tcPr>
          <w:p w14:paraId="0D8CD824" w14:textId="77777777" w:rsidR="00770DCC" w:rsidRPr="00770DCC" w:rsidRDefault="00770DCC" w:rsidP="00770DCC">
            <w:pPr>
              <w:spacing w:line="260" w:lineRule="atLeast"/>
              <w:rPr>
                <w:sz w:val="20"/>
                <w:szCs w:val="20"/>
                <w:lang w:val="sl-SI"/>
              </w:rPr>
            </w:pPr>
            <w:r w:rsidRPr="00770DCC">
              <w:rPr>
                <w:sz w:val="20"/>
                <w:szCs w:val="20"/>
                <w:lang w:val="sl-SI"/>
              </w:rPr>
              <w:t>2106 90 92 ali 2106 90 98 (odvisno od vsebnosti sladkorja/škroba/mlečnih maščob)</w:t>
            </w:r>
          </w:p>
        </w:tc>
        <w:tc>
          <w:tcPr>
            <w:tcW w:w="2955" w:type="dxa"/>
          </w:tcPr>
          <w:p w14:paraId="6F4C981E" w14:textId="77777777" w:rsidR="00770DCC" w:rsidRPr="00770DCC" w:rsidRDefault="00770DCC" w:rsidP="00770DCC">
            <w:pPr>
              <w:spacing w:line="260" w:lineRule="atLeast"/>
              <w:rPr>
                <w:sz w:val="20"/>
                <w:szCs w:val="20"/>
                <w:highlight w:val="yellow"/>
                <w:lang w:val="sl-SI"/>
              </w:rPr>
            </w:pPr>
            <w:r w:rsidRPr="00770DCC">
              <w:rPr>
                <w:sz w:val="20"/>
                <w:szCs w:val="20"/>
                <w:lang w:val="sl-SI"/>
              </w:rPr>
              <w:t>9,5 %</w:t>
            </w:r>
          </w:p>
        </w:tc>
      </w:tr>
      <w:tr w:rsidR="00770DCC" w:rsidRPr="00770DCC" w14:paraId="038EC64C" w14:textId="77777777" w:rsidTr="00513D1F">
        <w:tc>
          <w:tcPr>
            <w:tcW w:w="2960" w:type="dxa"/>
            <w:hideMark/>
          </w:tcPr>
          <w:p w14:paraId="6164A965" w14:textId="77777777" w:rsidR="00770DCC" w:rsidRPr="00770DCC" w:rsidRDefault="00770DCC" w:rsidP="00770DCC">
            <w:pPr>
              <w:spacing w:line="260" w:lineRule="atLeast"/>
              <w:rPr>
                <w:rFonts w:ascii="Calibri" w:hAnsi="Calibri"/>
                <w:sz w:val="20"/>
                <w:szCs w:val="20"/>
                <w:lang w:val="sl-SI"/>
              </w:rPr>
            </w:pPr>
            <w:r w:rsidRPr="00770DCC">
              <w:rPr>
                <w:sz w:val="20"/>
                <w:szCs w:val="20"/>
                <w:lang w:val="sl-SI"/>
              </w:rPr>
              <w:lastRenderedPageBreak/>
              <w:t>omega 3 kapsule – ribje olje v kapsulah</w:t>
            </w:r>
          </w:p>
        </w:tc>
        <w:tc>
          <w:tcPr>
            <w:tcW w:w="3006" w:type="dxa"/>
            <w:hideMark/>
          </w:tcPr>
          <w:p w14:paraId="6DC382B9" w14:textId="77777777" w:rsidR="00770DCC" w:rsidRPr="00770DCC" w:rsidRDefault="00770DCC" w:rsidP="00770DCC">
            <w:pPr>
              <w:spacing w:line="260" w:lineRule="atLeast"/>
              <w:rPr>
                <w:sz w:val="20"/>
                <w:szCs w:val="20"/>
                <w:lang w:val="sl-SI"/>
              </w:rPr>
            </w:pPr>
            <w:r w:rsidRPr="00770DCC">
              <w:rPr>
                <w:sz w:val="20"/>
                <w:szCs w:val="20"/>
                <w:lang w:val="sl-SI"/>
              </w:rPr>
              <w:t>2106 9092</w:t>
            </w:r>
          </w:p>
        </w:tc>
        <w:tc>
          <w:tcPr>
            <w:tcW w:w="2955" w:type="dxa"/>
          </w:tcPr>
          <w:p w14:paraId="007AD6CA" w14:textId="77777777" w:rsidR="00770DCC" w:rsidRPr="00770DCC" w:rsidRDefault="00770DCC" w:rsidP="00770DCC">
            <w:pPr>
              <w:spacing w:line="260" w:lineRule="atLeast"/>
              <w:rPr>
                <w:sz w:val="20"/>
                <w:szCs w:val="20"/>
                <w:highlight w:val="yellow"/>
                <w:lang w:val="sl-SI"/>
              </w:rPr>
            </w:pPr>
            <w:r w:rsidRPr="00770DCC">
              <w:rPr>
                <w:sz w:val="20"/>
                <w:szCs w:val="20"/>
                <w:lang w:val="sl-SI"/>
              </w:rPr>
              <w:t>9,5 %</w:t>
            </w:r>
          </w:p>
        </w:tc>
      </w:tr>
    </w:tbl>
    <w:p w14:paraId="175A0CF5" w14:textId="77777777" w:rsidR="00770DCC" w:rsidRPr="00770DCC" w:rsidRDefault="00770DCC" w:rsidP="00770DCC">
      <w:pPr>
        <w:spacing w:line="260" w:lineRule="exact"/>
        <w:jc w:val="both"/>
        <w:rPr>
          <w:rFonts w:cs="Arial"/>
          <w:szCs w:val="20"/>
          <w:lang w:val="sl-SI" w:eastAsia="sl-SI"/>
        </w:rPr>
      </w:pPr>
    </w:p>
    <w:p w14:paraId="74AFCC94" w14:textId="77777777" w:rsidR="00770DCC" w:rsidRPr="00770DCC" w:rsidRDefault="00770DCC" w:rsidP="00770DCC">
      <w:pPr>
        <w:spacing w:line="260" w:lineRule="exact"/>
        <w:jc w:val="both"/>
        <w:rPr>
          <w:rFonts w:cs="Arial"/>
          <w:szCs w:val="20"/>
          <w:lang w:val="sl-SI" w:eastAsia="sl-SI"/>
        </w:rPr>
      </w:pPr>
      <w:r w:rsidRPr="00770DCC">
        <w:rPr>
          <w:rFonts w:cs="Arial"/>
          <w:szCs w:val="20"/>
          <w:lang w:val="sl-SI" w:eastAsia="sl-SI"/>
        </w:rPr>
        <w:t xml:space="preserve">V tej zvezi davčnim zavezancem pojasnjujemo, da se lahko popravki napak pri obračunu DDV iz preteklih obdobij izvajajo v skladu z 88.b členom ZDDV-1, ki določa, da lahko davčni zavezanec, ki ugotovi napako pri obračunu DDV najpozneje do vročitve </w:t>
      </w:r>
      <w:proofErr w:type="spellStart"/>
      <w:r w:rsidRPr="00770DCC">
        <w:rPr>
          <w:rFonts w:cs="Arial"/>
          <w:szCs w:val="20"/>
          <w:lang w:val="sl-SI" w:eastAsia="sl-SI"/>
        </w:rPr>
        <w:t>odmerne</w:t>
      </w:r>
      <w:proofErr w:type="spellEnd"/>
      <w:r w:rsidRPr="00770DCC">
        <w:rPr>
          <w:rFonts w:cs="Arial"/>
          <w:szCs w:val="20"/>
          <w:lang w:val="sl-SI" w:eastAsia="sl-SI"/>
        </w:rPr>
        <w:t xml:space="preserve"> odločbe v postopku nadzora obračuna davka pri davčnem organu oziroma do začetka davčnega inšpekcijskega nadzora oziroma postopka o prekršku oziroma kazenskega postopka vključi popravke napak iz preteklih davčnih obdobij v tekoči obračun DDV.</w:t>
      </w:r>
    </w:p>
    <w:p w14:paraId="174845D5" w14:textId="77777777" w:rsidR="00770DCC" w:rsidRPr="00770DCC" w:rsidRDefault="00770DCC" w:rsidP="00770DCC">
      <w:pPr>
        <w:spacing w:line="260" w:lineRule="exact"/>
        <w:jc w:val="both"/>
        <w:rPr>
          <w:rFonts w:cs="Arial"/>
          <w:szCs w:val="20"/>
          <w:lang w:val="sl-SI" w:eastAsia="sl-SI"/>
        </w:rPr>
      </w:pPr>
    </w:p>
    <w:p w14:paraId="4AABB001" w14:textId="77777777" w:rsidR="00770DCC" w:rsidRPr="00770DCC" w:rsidRDefault="00770DCC" w:rsidP="00770DCC">
      <w:pPr>
        <w:spacing w:line="260" w:lineRule="exact"/>
        <w:jc w:val="both"/>
        <w:rPr>
          <w:rFonts w:cs="Arial"/>
          <w:szCs w:val="20"/>
          <w:lang w:val="sl-SI"/>
        </w:rPr>
      </w:pPr>
      <w:r w:rsidRPr="00770DCC">
        <w:rPr>
          <w:rFonts w:cs="Arial"/>
          <w:szCs w:val="20"/>
          <w:lang w:val="sl-SI" w:eastAsia="sl-SI"/>
        </w:rPr>
        <w:t xml:space="preserve">V primeru, da je bil DDV pri uvozu obračunan po napačni stopnji, lahko davčni zavezanec vloži zahtevek za povračilo v skladu s 117. členom </w:t>
      </w:r>
      <w:hyperlink r:id="rId11" w:history="1">
        <w:r w:rsidRPr="00770DCC">
          <w:rPr>
            <w:rFonts w:cs="Arial"/>
            <w:color w:val="0000FF"/>
            <w:szCs w:val="20"/>
            <w:u w:val="single"/>
            <w:lang w:val="sl-SI" w:eastAsia="sl-SI"/>
          </w:rPr>
          <w:t>Uredbe (EU) št. 952/2013 o carinskem zakoniku Unije</w:t>
        </w:r>
      </w:hyperlink>
      <w:r w:rsidRPr="00770DCC">
        <w:rPr>
          <w:rFonts w:cs="Arial"/>
          <w:szCs w:val="20"/>
          <w:lang w:val="sl-SI" w:eastAsia="sl-SI"/>
        </w:rPr>
        <w:t xml:space="preserve">. Zahtevek se vloži na </w:t>
      </w:r>
      <w:hyperlink r:id="rId12" w:history="1">
        <w:r w:rsidRPr="00770DCC">
          <w:rPr>
            <w:rFonts w:cs="Arial"/>
            <w:color w:val="0000FF"/>
            <w:szCs w:val="20"/>
            <w:u w:val="single"/>
            <w:lang w:val="sl-SI" w:eastAsia="sl-SI"/>
          </w:rPr>
          <w:t>predpisanem obrazcu</w:t>
        </w:r>
      </w:hyperlink>
      <w:r w:rsidRPr="00770DCC">
        <w:rPr>
          <w:rFonts w:cs="Arial"/>
          <w:szCs w:val="20"/>
          <w:lang w:val="sl-SI" w:eastAsia="sl-SI"/>
        </w:rPr>
        <w:t xml:space="preserve"> pri finančnem uradu, pri katerem je bilo izvedeno carinjenje. </w:t>
      </w:r>
    </w:p>
    <w:p w14:paraId="1097426C" w14:textId="77777777" w:rsidR="00093380" w:rsidRPr="00D516AA" w:rsidRDefault="00093380" w:rsidP="00093380">
      <w:pPr>
        <w:spacing w:line="260" w:lineRule="atLeast"/>
        <w:rPr>
          <w:rFonts w:cs="Arial"/>
          <w:szCs w:val="20"/>
          <w:lang w:val="sl-SI"/>
        </w:rPr>
      </w:pPr>
    </w:p>
    <w:p w14:paraId="66509AB7" w14:textId="77777777" w:rsidR="005548C5" w:rsidRDefault="005548C5" w:rsidP="00770DCC">
      <w:pPr>
        <w:pStyle w:val="ZADEVA"/>
        <w:spacing w:line="260" w:lineRule="atLeast"/>
        <w:ind w:left="0" w:firstLine="0"/>
        <w:rPr>
          <w:rFonts w:cs="Arial"/>
          <w:szCs w:val="20"/>
          <w:lang w:val="sl-SI"/>
        </w:rPr>
      </w:pPr>
    </w:p>
    <w:p w14:paraId="0A34723F" w14:textId="70A93042" w:rsidR="00770DCC" w:rsidRPr="00D516AA" w:rsidRDefault="00476FE6" w:rsidP="00770DCC">
      <w:pPr>
        <w:pStyle w:val="ZADEVA"/>
        <w:spacing w:line="260" w:lineRule="atLeast"/>
        <w:ind w:left="0" w:firstLine="0"/>
        <w:rPr>
          <w:rFonts w:cs="Arial"/>
          <w:szCs w:val="20"/>
          <w:lang w:val="sl-SI"/>
        </w:rPr>
      </w:pPr>
      <w:r>
        <w:rPr>
          <w:rFonts w:cs="Arial"/>
          <w:szCs w:val="20"/>
          <w:lang w:val="sl-SI"/>
        </w:rPr>
        <w:t>D</w:t>
      </w:r>
      <w:r w:rsidR="00770DCC" w:rsidRPr="00D516AA">
        <w:rPr>
          <w:rFonts w:cs="Arial"/>
          <w:szCs w:val="20"/>
          <w:lang w:val="sl-SI"/>
        </w:rPr>
        <w:t>odatno pojasnilo</w:t>
      </w:r>
      <w:r w:rsidR="00770DCC">
        <w:rPr>
          <w:rFonts w:cs="Arial"/>
          <w:szCs w:val="20"/>
          <w:lang w:val="sl-SI"/>
        </w:rPr>
        <w:t xml:space="preserve"> FURS, št. 0920-7413/2018-3 z dne 28. 6. 2018</w:t>
      </w:r>
    </w:p>
    <w:p w14:paraId="235EE2ED" w14:textId="77777777" w:rsidR="00770DCC" w:rsidRDefault="00770DCC" w:rsidP="00966A51">
      <w:pPr>
        <w:spacing w:line="260" w:lineRule="atLeast"/>
        <w:jc w:val="both"/>
        <w:rPr>
          <w:rFonts w:cs="Arial"/>
          <w:szCs w:val="20"/>
          <w:lang w:val="sl-SI"/>
        </w:rPr>
      </w:pPr>
    </w:p>
    <w:p w14:paraId="33EF28A3" w14:textId="77777777" w:rsidR="00966A51" w:rsidRDefault="00966A51" w:rsidP="00966A51">
      <w:pPr>
        <w:spacing w:line="260" w:lineRule="atLeast"/>
        <w:jc w:val="both"/>
        <w:rPr>
          <w:rFonts w:cs="Arial"/>
          <w:szCs w:val="20"/>
          <w:lang w:val="sl-SI"/>
        </w:rPr>
      </w:pPr>
      <w:r>
        <w:rPr>
          <w:rFonts w:cs="Arial"/>
          <w:szCs w:val="20"/>
          <w:lang w:val="sl-SI"/>
        </w:rPr>
        <w:t>V zvezi z vprašanji glede uporabe nižje stopnje DDV za prehranska dopolnila v nadaljevanju dodatno pojasnjujemo:</w:t>
      </w:r>
    </w:p>
    <w:p w14:paraId="78F6C370" w14:textId="77777777" w:rsidR="00966A51" w:rsidRDefault="00966A51" w:rsidP="00966A51">
      <w:pPr>
        <w:pStyle w:val="Odstavekseznama"/>
        <w:numPr>
          <w:ilvl w:val="0"/>
          <w:numId w:val="10"/>
        </w:numPr>
        <w:spacing w:line="260" w:lineRule="atLeast"/>
        <w:ind w:left="0" w:firstLine="0"/>
        <w:jc w:val="both"/>
        <w:rPr>
          <w:rFonts w:ascii="Arial" w:hAnsi="Arial" w:cs="Arial"/>
          <w:sz w:val="20"/>
          <w:szCs w:val="20"/>
        </w:rPr>
      </w:pPr>
      <w:r>
        <w:rPr>
          <w:rFonts w:ascii="Arial" w:hAnsi="Arial" w:cs="Arial"/>
          <w:sz w:val="20"/>
          <w:szCs w:val="20"/>
        </w:rPr>
        <w:t xml:space="preserve">Ali se </w:t>
      </w:r>
      <w:hyperlink r:id="rId13" w:history="1">
        <w:r>
          <w:rPr>
            <w:rStyle w:val="Hiperpovezava"/>
            <w:rFonts w:ascii="Arial" w:hAnsi="Arial" w:cs="Arial"/>
            <w:sz w:val="20"/>
            <w:szCs w:val="20"/>
          </w:rPr>
          <w:t>pojasnilo Prehranska dopolnila in stopnja DDV</w:t>
        </w:r>
      </w:hyperlink>
      <w:r>
        <w:rPr>
          <w:rFonts w:ascii="Arial" w:hAnsi="Arial" w:cs="Arial"/>
          <w:sz w:val="20"/>
          <w:szCs w:val="20"/>
        </w:rPr>
        <w:t xml:space="preserve"> nanaša izključno na prehranska dopolnila ali na vse izdelke (blago) iz 1. točke priloge I k </w:t>
      </w:r>
      <w:hyperlink r:id="rId14" w:history="1">
        <w:r>
          <w:rPr>
            <w:rStyle w:val="Hiperpovezava"/>
            <w:rFonts w:ascii="Arial" w:hAnsi="Arial" w:cs="Arial"/>
            <w:sz w:val="20"/>
            <w:szCs w:val="20"/>
          </w:rPr>
          <w:t>Zakonu o davku na dodano vrednost - ZDDV-1</w:t>
        </w:r>
      </w:hyperlink>
      <w:r>
        <w:rPr>
          <w:rFonts w:ascii="Arial" w:hAnsi="Arial" w:cs="Arial"/>
          <w:sz w:val="20"/>
          <w:szCs w:val="20"/>
        </w:rPr>
        <w:t xml:space="preserve">? </w:t>
      </w:r>
    </w:p>
    <w:p w14:paraId="2DB491CE" w14:textId="77777777" w:rsidR="00966A51" w:rsidRDefault="00966A51" w:rsidP="00966A51">
      <w:pPr>
        <w:pStyle w:val="Odstavekseznama"/>
        <w:spacing w:line="260" w:lineRule="atLeast"/>
        <w:jc w:val="both"/>
        <w:rPr>
          <w:rFonts w:ascii="Arial" w:hAnsi="Arial" w:cs="Arial"/>
          <w:sz w:val="20"/>
          <w:szCs w:val="20"/>
        </w:rPr>
      </w:pPr>
      <w:r>
        <w:rPr>
          <w:rFonts w:ascii="Arial" w:hAnsi="Arial" w:cs="Arial"/>
          <w:sz w:val="20"/>
          <w:szCs w:val="20"/>
        </w:rPr>
        <w:t xml:space="preserve">Pojasnilo je bilo izdano v zadevi uporabe stopnje DDV za prehranska dopolnila, enako pa velja tudi za vse izdelke (blago), ki  so zajeti v I. točki priloge I. k ZDDV-1. V povezavi z drugim odstavkom 48. člena </w:t>
      </w:r>
      <w:hyperlink r:id="rId15" w:history="1">
        <w:r>
          <w:rPr>
            <w:rStyle w:val="Hiperpovezava"/>
            <w:rFonts w:ascii="Arial" w:hAnsi="Arial" w:cs="Arial"/>
            <w:sz w:val="20"/>
            <w:szCs w:val="20"/>
          </w:rPr>
          <w:t>Pravilnika o  izvajanju ZDDV-1</w:t>
        </w:r>
      </w:hyperlink>
      <w:r>
        <w:rPr>
          <w:rFonts w:ascii="Arial" w:hAnsi="Arial" w:cs="Arial"/>
          <w:sz w:val="20"/>
          <w:szCs w:val="20"/>
        </w:rPr>
        <w:t xml:space="preserve"> se splošna stopnja DDV uporabi za vse izdelke in kmetijske pridelke, ki so sicer uvrščeni v eno izmed tarifnih oznak, določenih za izdelke iz 1. točke Priloge I k ZDDV-1, vendar </w:t>
      </w:r>
      <w:r>
        <w:rPr>
          <w:rFonts w:ascii="Arial" w:hAnsi="Arial" w:cs="Arial"/>
          <w:sz w:val="20"/>
          <w:szCs w:val="20"/>
        </w:rPr>
        <w:lastRenderedPageBreak/>
        <w:t xml:space="preserve">se ne uporabljajo kot hrana ali surovina za pripravo hrane, niti niso uvrščeni med živali za pitanje ter semena in sadike, ki so namenjene izključno uporabi v kmetijstvu, gozdarstvu in ribištvu. Splošna stopnja se uporabi tudi za vse izdelke, ki vsebujejo več kot 0,5 volumskega alkohola pri 20° C oziroma 0,4 masnega odstotka alkohola v izdelku. </w:t>
      </w:r>
    </w:p>
    <w:p w14:paraId="034A57E4" w14:textId="77777777" w:rsidR="00966A51" w:rsidRDefault="00966A51" w:rsidP="00966A51">
      <w:pPr>
        <w:pStyle w:val="Odstavekseznama"/>
        <w:spacing w:line="260" w:lineRule="atLeast"/>
        <w:jc w:val="both"/>
        <w:rPr>
          <w:rFonts w:ascii="Arial" w:hAnsi="Arial" w:cs="Arial"/>
          <w:sz w:val="20"/>
          <w:szCs w:val="20"/>
        </w:rPr>
      </w:pPr>
      <w:r>
        <w:rPr>
          <w:rFonts w:ascii="Arial" w:hAnsi="Arial" w:cs="Arial"/>
          <w:sz w:val="20"/>
          <w:szCs w:val="20"/>
        </w:rPr>
        <w:t xml:space="preserve">2.  Ali mora davčni zavezanec, ki prodaja takšno blago (pri katerem sta mogoči obe DDV stopnji), kupca vprašati, za kakšen namen bo nabavljeno blago uporabil? Kako je glede dokazovanja namene uporabe? </w:t>
      </w:r>
    </w:p>
    <w:p w14:paraId="561A8750" w14:textId="77777777" w:rsidR="00966A51" w:rsidRDefault="00966A51" w:rsidP="00966A51">
      <w:pPr>
        <w:spacing w:before="100" w:beforeAutospacing="1" w:after="100" w:line="260" w:lineRule="atLeast"/>
        <w:jc w:val="both"/>
        <w:rPr>
          <w:rFonts w:cs="Arial"/>
          <w:szCs w:val="20"/>
          <w:lang w:val="sl-SI"/>
        </w:rPr>
      </w:pPr>
      <w:r>
        <w:rPr>
          <w:rFonts w:cs="Arial"/>
          <w:szCs w:val="20"/>
          <w:lang w:val="sl-SI"/>
        </w:rPr>
        <w:t xml:space="preserve">Glede pridobitve podatka o namenu uporabe, potrebnega za pravilno določitev stopnje DDV za blago iz 1. točke priloge I. k ZDDV-1, pojasnjujemo, da mora davčni zavezanec namen uporabe blaga, ki ga uvaža oziroma pridobiva iz drugih držav članic EU, določiti ob uvozu oziroma ob pridobitvi blaga (npr. davčni zavezanec, ki uvaža ali pridobi iz druge države članice borovnice v prahu za izdelavo krem za nego kože ne more uporabiti nižje stopnje DDV). Navedeno pomeni, da mora davčni zavezanec ob uvozu blaga iz 1. točke priloge I. k ZDDV-1 iz tretjih držav ali pridobitvi tega blaga iz drugih držav članic EU obračunati in plačati DDV po splošni stopnji, če ga uvaža oz. pridobiva za uporabo v druge namene, kot za hrano ali surovino za pripravo hrane. Če pride do spremembe uporabe, se mora od uvoza/pridobitve blaga opraviti ustrezen popravek stopnje DDV. </w:t>
      </w:r>
    </w:p>
    <w:p w14:paraId="52C5FED3" w14:textId="77777777" w:rsidR="00966A51" w:rsidRDefault="00966A51" w:rsidP="00966A51">
      <w:pPr>
        <w:spacing w:line="260" w:lineRule="atLeast"/>
        <w:jc w:val="both"/>
        <w:rPr>
          <w:rFonts w:cs="Arial"/>
          <w:szCs w:val="20"/>
          <w:lang w:val="sl-SI"/>
        </w:rPr>
      </w:pPr>
    </w:p>
    <w:p w14:paraId="10CDD1AD" w14:textId="77777777" w:rsidR="00966A51" w:rsidRDefault="00966A51" w:rsidP="00966A51">
      <w:pPr>
        <w:spacing w:line="260" w:lineRule="atLeast"/>
        <w:jc w:val="both"/>
        <w:rPr>
          <w:rFonts w:cs="Arial"/>
          <w:szCs w:val="20"/>
          <w:lang w:val="sl-SI"/>
        </w:rPr>
      </w:pPr>
      <w:r>
        <w:rPr>
          <w:rFonts w:cs="Arial"/>
          <w:szCs w:val="20"/>
          <w:lang w:val="sl-SI"/>
        </w:rPr>
        <w:t xml:space="preserve">V vseh primerih prodaje blaga iz 1. točke priloge I. k ZDDV-1 na notranjem trgu se pri prodaji tega blaga končnemu potrošniku šteje, da se bo to blago uporabilo kot hrana (od kupcev – končnih potrošnikov podatka o namenu uporabe ni treba posebej pridobivati). </w:t>
      </w:r>
    </w:p>
    <w:p w14:paraId="42F19857" w14:textId="77777777" w:rsidR="00966A51" w:rsidRDefault="00966A51" w:rsidP="00966A51">
      <w:pPr>
        <w:spacing w:line="260" w:lineRule="atLeast"/>
        <w:ind w:left="360"/>
        <w:rPr>
          <w:rFonts w:cs="Arial"/>
          <w:szCs w:val="20"/>
          <w:lang w:val="sl-SI"/>
        </w:rPr>
      </w:pPr>
    </w:p>
    <w:p w14:paraId="496E07D0" w14:textId="77777777" w:rsidR="00966A51" w:rsidRDefault="00966A51" w:rsidP="00966A51">
      <w:pPr>
        <w:spacing w:line="260" w:lineRule="atLeast"/>
        <w:jc w:val="both"/>
        <w:rPr>
          <w:rFonts w:cs="Arial"/>
          <w:szCs w:val="20"/>
          <w:lang w:val="sl-SI"/>
        </w:rPr>
      </w:pPr>
      <w:r>
        <w:rPr>
          <w:rFonts w:cs="Arial"/>
          <w:szCs w:val="20"/>
          <w:lang w:val="sl-SI"/>
        </w:rPr>
        <w:t xml:space="preserve">Pri prodaji prej navedenega blaga drugemu davčnemu zavezancu je treba namen uporabe določiti ob dobavi. Glede dokazovanja namena uporabe blaga iz 1. točke Priloge I. k ZDDV-1, ki je pomembno za pravilno določitev stopnje DDV, pojasnjujemo, da mora biti namen uporabe podprt z objektivnimi dokazili. Kateri so ti dokazi, je odvisno od primera do primera. Če iz okoliščin primera izhaja, da bi davčni </w:t>
      </w:r>
      <w:r>
        <w:rPr>
          <w:rFonts w:cs="Arial"/>
          <w:szCs w:val="20"/>
          <w:lang w:val="sl-SI"/>
        </w:rPr>
        <w:lastRenderedPageBreak/>
        <w:t>zavezanec – prodajalec, identificiran za DDV, lahko vedel, da bo to blago pri kupcu uporabljeno za druge namene kot za hrano ali surovino za pripravo hrane, lahko zaradi davčne gotovosti pri prodaji prej navedenega blaga od kupca – davčnega zavezanca o njegovem namenu uporabe blaga pridobi izjavo (lahko je navedena tudi kot klavzula na naročilnici ali kot pogodbeno določilo). Izjava kupca je lahko tudi nenapisana oz. konkludentna (izjava s tihim soglasjem; npr. če kupec sprejme račun z obračunanim DDV po nižji stopnji, se s tem šteje, da se strinja, da bo blago uporabil za hrano). Če po opravljeni dobavi pride pri kupcu do spremembe namena uporabe, dobavitelju zaradi tega ni treba popravljati obračunanega DDV, ki ga je moral obračunati na dan nastanka obdavčljivega dogodka in v višini, ki je izkazan na računu izdanem kupcu. S tem se zagotavlja gotovost pri davčnem zavezancu – dobavitelju, ki glede na okoliščine primera ne bi mogel vedeti, kakšen je dejanski namen uporabe tega blaga pri kupcu – davčnem zavezancu.</w:t>
      </w:r>
    </w:p>
    <w:p w14:paraId="1D2E97F9" w14:textId="77777777" w:rsidR="00966A51" w:rsidRDefault="00966A51" w:rsidP="00966A51">
      <w:pPr>
        <w:spacing w:line="260" w:lineRule="atLeast"/>
        <w:jc w:val="both"/>
        <w:rPr>
          <w:rFonts w:cs="Arial"/>
          <w:szCs w:val="20"/>
          <w:lang w:val="sl-SI"/>
        </w:rPr>
      </w:pPr>
    </w:p>
    <w:p w14:paraId="1F88E408" w14:textId="77777777" w:rsidR="00966A51" w:rsidRDefault="00966A51" w:rsidP="00966A51">
      <w:pPr>
        <w:spacing w:line="260" w:lineRule="atLeast"/>
        <w:jc w:val="both"/>
        <w:rPr>
          <w:rFonts w:cs="Arial"/>
          <w:szCs w:val="20"/>
          <w:lang w:val="it-IT"/>
        </w:rPr>
      </w:pPr>
      <w:r>
        <w:rPr>
          <w:rFonts w:cs="Arial"/>
          <w:szCs w:val="20"/>
          <w:lang w:val="it-IT"/>
        </w:rPr>
        <w:t xml:space="preserve">3. Ali </w:t>
      </w:r>
      <w:r>
        <w:rPr>
          <w:rFonts w:cs="Arial"/>
          <w:szCs w:val="20"/>
          <w:lang w:val="sl-SI"/>
        </w:rPr>
        <w:t>mora prodajalec takšnega blaga na svojem ceniku navesti obe DDV stopnji?</w:t>
      </w:r>
      <w:r>
        <w:rPr>
          <w:rFonts w:cs="Arial"/>
          <w:szCs w:val="20"/>
          <w:lang w:val="it-IT"/>
        </w:rPr>
        <w:t xml:space="preserve"> </w:t>
      </w:r>
    </w:p>
    <w:p w14:paraId="61A0BFB3" w14:textId="77777777" w:rsidR="00966A51" w:rsidRDefault="00966A51" w:rsidP="00966A51">
      <w:pPr>
        <w:pStyle w:val="Odstavekseznama"/>
        <w:spacing w:line="260" w:lineRule="atLeast"/>
        <w:jc w:val="both"/>
        <w:rPr>
          <w:rFonts w:ascii="Arial" w:hAnsi="Arial" w:cs="Arial"/>
          <w:sz w:val="20"/>
          <w:szCs w:val="20"/>
        </w:rPr>
      </w:pPr>
      <w:r>
        <w:rPr>
          <w:rFonts w:ascii="Arial" w:hAnsi="Arial" w:cs="Arial"/>
          <w:sz w:val="20"/>
          <w:szCs w:val="20"/>
        </w:rPr>
        <w:t xml:space="preserve">DDV zakonodaja označevanja cen na ceniku ne ureja (določa pa kot obvezen podatek na računu med drugim tudi stopnjo DDV oz. pri poenostavljenem računu informacijo, potrebna za izračun DDV). </w:t>
      </w:r>
    </w:p>
    <w:p w14:paraId="6EE72A17" w14:textId="77777777" w:rsidR="00966A51" w:rsidRDefault="00966A51" w:rsidP="00966A51">
      <w:pPr>
        <w:pStyle w:val="Odstavekseznama"/>
        <w:spacing w:line="260" w:lineRule="atLeast"/>
        <w:jc w:val="both"/>
        <w:rPr>
          <w:rFonts w:ascii="Arial" w:hAnsi="Arial" w:cs="Arial"/>
          <w:sz w:val="20"/>
          <w:szCs w:val="20"/>
        </w:rPr>
      </w:pPr>
      <w:r>
        <w:rPr>
          <w:rFonts w:ascii="Arial" w:hAnsi="Arial" w:cs="Arial"/>
          <w:sz w:val="20"/>
          <w:szCs w:val="20"/>
        </w:rPr>
        <w:t xml:space="preserve">4. V prvem odstavku na 2. strani prej omenjenega pojasnila je navedeno, da se bo Finančna uprava Republike Slovenije (v nadaljevanju FURS) v postopkih nadzora usmerjala predvsem v pravilnost določanja namena uporabe teh izdelkov za obdobja po izdaji tega pojasnila. Ali to pomeni, da davčnim zavezancem za nazaj popravkov ni treba izvajati? </w:t>
      </w:r>
    </w:p>
    <w:p w14:paraId="35469C0F" w14:textId="77777777" w:rsidR="00966A51" w:rsidRDefault="00966A51" w:rsidP="00966A51">
      <w:pPr>
        <w:pStyle w:val="Odstavekseznama"/>
        <w:spacing w:line="260" w:lineRule="atLeast"/>
        <w:jc w:val="both"/>
        <w:rPr>
          <w:rFonts w:ascii="Arial" w:hAnsi="Arial" w:cs="Arial"/>
          <w:color w:val="FF0000"/>
          <w:sz w:val="20"/>
          <w:szCs w:val="20"/>
        </w:rPr>
      </w:pPr>
      <w:r>
        <w:rPr>
          <w:rFonts w:ascii="Arial" w:hAnsi="Arial" w:cs="Arial"/>
          <w:sz w:val="20"/>
          <w:szCs w:val="20"/>
        </w:rPr>
        <w:t xml:space="preserve">Velja, da mora davčni zavezanec skrbeti za pravilno obračunavanje DDV, kar pomeni, da mora opravljati ustrezne popravke, če prihaja do sprememb. Kot izhaja iz pojasnila, se bo FURS v postopkih nadzora usmerjal v pravilnost določanja namena uporabe teh izdelkov za dobave, opravljene v obdobju po izdaji prej omenjenega pojasnila. </w:t>
      </w:r>
    </w:p>
    <w:p w14:paraId="7C36D2F6" w14:textId="77777777" w:rsidR="00093380" w:rsidRPr="00BC2517" w:rsidRDefault="00093380" w:rsidP="00966A51">
      <w:pPr>
        <w:spacing w:line="260" w:lineRule="atLeast"/>
        <w:jc w:val="both"/>
        <w:rPr>
          <w:lang w:val="sl-SI"/>
        </w:rPr>
      </w:pPr>
    </w:p>
    <w:sectPr w:rsidR="00093380" w:rsidRPr="00BC2517" w:rsidSect="00F0025B">
      <w:headerReference w:type="default" r:id="rId16"/>
      <w:footerReference w:type="default" r:id="rId17"/>
      <w:headerReference w:type="first" r:id="rId18"/>
      <w:footerReference w:type="first" r:id="rId19"/>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FBEB2" w14:textId="77777777" w:rsidR="003D64AE" w:rsidRDefault="003D64AE">
      <w:r>
        <w:separator/>
      </w:r>
    </w:p>
  </w:endnote>
  <w:endnote w:type="continuationSeparator" w:id="0">
    <w:p w14:paraId="36ED8878" w14:textId="77777777" w:rsidR="003D64AE" w:rsidRDefault="003D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altName w:val="Times New Roman"/>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8BAC7" w14:textId="77777777" w:rsidR="000B0B21" w:rsidRDefault="0072679D" w:rsidP="00751D38">
    <w:pPr>
      <w:pStyle w:val="Footer0"/>
      <w:jc w:val="right"/>
    </w:pPr>
    <w:r>
      <w:rPr>
        <w:rFonts w:cs="Arial"/>
        <w:sz w:val="16"/>
      </w:rPr>
      <w:fldChar w:fldCharType="begin"/>
    </w:r>
    <w:r>
      <w:rPr>
        <w:rFonts w:cs="Arial"/>
        <w:sz w:val="16"/>
      </w:rPr>
      <w:instrText xml:space="preserve"> PAGE </w:instrText>
    </w:r>
    <w:r>
      <w:rPr>
        <w:rFonts w:cs="Arial"/>
        <w:sz w:val="16"/>
      </w:rPr>
      <w:fldChar w:fldCharType="separate"/>
    </w:r>
    <w:r w:rsidR="00152E24">
      <w:rPr>
        <w:rFonts w:cs="Arial"/>
        <w:noProof/>
        <w:sz w:val="16"/>
      </w:rPr>
      <w:t>4</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152E24">
      <w:rPr>
        <w:rFonts w:cs="Arial"/>
        <w:noProof/>
        <w:sz w:val="16"/>
      </w:rPr>
      <w:t>4</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8BAE3" w14:textId="77777777" w:rsidR="000B0B21" w:rsidRDefault="0072679D" w:rsidP="00751D38">
    <w:pPr>
      <w:pStyle w:val="Footer1"/>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152E24">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152E24">
      <w:rPr>
        <w:rFonts w:cs="Arial"/>
        <w:noProof/>
        <w:sz w:val="16"/>
      </w:rPr>
      <w:t>4</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C3D13" w14:textId="77777777" w:rsidR="003D64AE" w:rsidRDefault="003D64AE">
      <w:r>
        <w:separator/>
      </w:r>
    </w:p>
  </w:footnote>
  <w:footnote w:type="continuationSeparator" w:id="0">
    <w:p w14:paraId="27FBCD3A" w14:textId="77777777" w:rsidR="003D64AE" w:rsidRDefault="003D6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8BAC6" w14:textId="77777777" w:rsidR="000B0B21" w:rsidRPr="00110CBD" w:rsidRDefault="000B0B21" w:rsidP="007D75CF">
    <w:pPr>
      <w:pStyle w:val="Header0"/>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D7869" w14:paraId="4A88BAD9" w14:textId="77777777">
      <w:trPr>
        <w:cantSplit/>
        <w:trHeight w:hRule="exact" w:val="847"/>
      </w:trPr>
      <w:tc>
        <w:tcPr>
          <w:tcW w:w="567" w:type="dxa"/>
        </w:tcPr>
        <w:p w14:paraId="4A88BAC8" w14:textId="77777777" w:rsidR="000B0B21" w:rsidRDefault="0072679D" w:rsidP="00D248DE">
          <w:pPr>
            <w:pStyle w:val="Normal2"/>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4A88BAC9" w14:textId="77777777" w:rsidR="000B0B21" w:rsidRPr="006D42D9" w:rsidRDefault="000B0B21" w:rsidP="006D42D9">
          <w:pPr>
            <w:pStyle w:val="Normal2"/>
            <w:rPr>
              <w:rFonts w:ascii="Republika" w:hAnsi="Republika"/>
              <w:sz w:val="60"/>
              <w:szCs w:val="60"/>
              <w:lang w:val="sl-SI"/>
            </w:rPr>
          </w:pPr>
        </w:p>
        <w:p w14:paraId="4A88BACA" w14:textId="77777777" w:rsidR="000B0B21" w:rsidRPr="006D42D9" w:rsidRDefault="000B0B21" w:rsidP="006D42D9">
          <w:pPr>
            <w:pStyle w:val="Normal2"/>
            <w:rPr>
              <w:rFonts w:ascii="Republika" w:hAnsi="Republika"/>
              <w:sz w:val="60"/>
              <w:szCs w:val="60"/>
              <w:lang w:val="sl-SI"/>
            </w:rPr>
          </w:pPr>
        </w:p>
        <w:p w14:paraId="4A88BACB" w14:textId="77777777" w:rsidR="000B0B21" w:rsidRPr="006D42D9" w:rsidRDefault="000B0B21" w:rsidP="006D42D9">
          <w:pPr>
            <w:pStyle w:val="Normal2"/>
            <w:rPr>
              <w:rFonts w:ascii="Republika" w:hAnsi="Republika"/>
              <w:sz w:val="60"/>
              <w:szCs w:val="60"/>
              <w:lang w:val="sl-SI"/>
            </w:rPr>
          </w:pPr>
        </w:p>
        <w:p w14:paraId="4A88BACC" w14:textId="77777777" w:rsidR="000B0B21" w:rsidRPr="006D42D9" w:rsidRDefault="000B0B21" w:rsidP="006D42D9">
          <w:pPr>
            <w:pStyle w:val="Normal2"/>
            <w:rPr>
              <w:rFonts w:ascii="Republika" w:hAnsi="Republika"/>
              <w:sz w:val="60"/>
              <w:szCs w:val="60"/>
              <w:lang w:val="sl-SI"/>
            </w:rPr>
          </w:pPr>
        </w:p>
        <w:p w14:paraId="4A88BACD" w14:textId="77777777" w:rsidR="000B0B21" w:rsidRPr="006D42D9" w:rsidRDefault="000B0B21" w:rsidP="006D42D9">
          <w:pPr>
            <w:pStyle w:val="Normal2"/>
            <w:rPr>
              <w:rFonts w:ascii="Republika" w:hAnsi="Republika"/>
              <w:sz w:val="60"/>
              <w:szCs w:val="60"/>
              <w:lang w:val="sl-SI"/>
            </w:rPr>
          </w:pPr>
        </w:p>
        <w:p w14:paraId="4A88BACE" w14:textId="77777777" w:rsidR="000B0B21" w:rsidRPr="006D42D9" w:rsidRDefault="000B0B21" w:rsidP="006D42D9">
          <w:pPr>
            <w:pStyle w:val="Normal2"/>
            <w:rPr>
              <w:rFonts w:ascii="Republika" w:hAnsi="Republika"/>
              <w:sz w:val="60"/>
              <w:szCs w:val="60"/>
              <w:lang w:val="sl-SI"/>
            </w:rPr>
          </w:pPr>
        </w:p>
        <w:p w14:paraId="4A88BACF" w14:textId="77777777" w:rsidR="000B0B21" w:rsidRPr="006D42D9" w:rsidRDefault="000B0B21" w:rsidP="006D42D9">
          <w:pPr>
            <w:pStyle w:val="Normal2"/>
            <w:rPr>
              <w:rFonts w:ascii="Republika" w:hAnsi="Republika"/>
              <w:sz w:val="60"/>
              <w:szCs w:val="60"/>
              <w:lang w:val="sl-SI"/>
            </w:rPr>
          </w:pPr>
        </w:p>
        <w:p w14:paraId="4A88BAD0" w14:textId="77777777" w:rsidR="000B0B21" w:rsidRPr="006D42D9" w:rsidRDefault="000B0B21" w:rsidP="006D42D9">
          <w:pPr>
            <w:pStyle w:val="Normal2"/>
            <w:rPr>
              <w:rFonts w:ascii="Republika" w:hAnsi="Republika"/>
              <w:sz w:val="60"/>
              <w:szCs w:val="60"/>
              <w:lang w:val="sl-SI"/>
            </w:rPr>
          </w:pPr>
        </w:p>
        <w:p w14:paraId="4A88BAD1" w14:textId="77777777" w:rsidR="000B0B21" w:rsidRPr="006D42D9" w:rsidRDefault="000B0B21" w:rsidP="006D42D9">
          <w:pPr>
            <w:pStyle w:val="Normal2"/>
            <w:rPr>
              <w:rFonts w:ascii="Republika" w:hAnsi="Republika"/>
              <w:sz w:val="60"/>
              <w:szCs w:val="60"/>
              <w:lang w:val="sl-SI"/>
            </w:rPr>
          </w:pPr>
        </w:p>
        <w:p w14:paraId="4A88BAD2" w14:textId="77777777" w:rsidR="000B0B21" w:rsidRPr="006D42D9" w:rsidRDefault="000B0B21" w:rsidP="006D42D9">
          <w:pPr>
            <w:pStyle w:val="Normal2"/>
            <w:rPr>
              <w:rFonts w:ascii="Republika" w:hAnsi="Republika"/>
              <w:sz w:val="60"/>
              <w:szCs w:val="60"/>
              <w:lang w:val="sl-SI"/>
            </w:rPr>
          </w:pPr>
        </w:p>
        <w:p w14:paraId="4A88BAD3" w14:textId="77777777" w:rsidR="000B0B21" w:rsidRPr="006D42D9" w:rsidRDefault="000B0B21" w:rsidP="006D42D9">
          <w:pPr>
            <w:pStyle w:val="Normal2"/>
            <w:rPr>
              <w:rFonts w:ascii="Republika" w:hAnsi="Republika"/>
              <w:sz w:val="60"/>
              <w:szCs w:val="60"/>
              <w:lang w:val="sl-SI"/>
            </w:rPr>
          </w:pPr>
        </w:p>
        <w:p w14:paraId="4A88BAD4" w14:textId="77777777" w:rsidR="000B0B21" w:rsidRPr="006D42D9" w:rsidRDefault="000B0B21" w:rsidP="006D42D9">
          <w:pPr>
            <w:pStyle w:val="Normal2"/>
            <w:rPr>
              <w:rFonts w:ascii="Republika" w:hAnsi="Republika"/>
              <w:sz w:val="60"/>
              <w:szCs w:val="60"/>
              <w:lang w:val="sl-SI"/>
            </w:rPr>
          </w:pPr>
        </w:p>
        <w:p w14:paraId="4A88BAD5" w14:textId="77777777" w:rsidR="000B0B21" w:rsidRPr="006D42D9" w:rsidRDefault="000B0B21" w:rsidP="006D42D9">
          <w:pPr>
            <w:pStyle w:val="Normal2"/>
            <w:rPr>
              <w:rFonts w:ascii="Republika" w:hAnsi="Republika"/>
              <w:sz w:val="60"/>
              <w:szCs w:val="60"/>
              <w:lang w:val="sl-SI"/>
            </w:rPr>
          </w:pPr>
        </w:p>
        <w:p w14:paraId="4A88BAD6" w14:textId="77777777" w:rsidR="000B0B21" w:rsidRPr="006D42D9" w:rsidRDefault="000B0B21" w:rsidP="006D42D9">
          <w:pPr>
            <w:pStyle w:val="Normal2"/>
            <w:rPr>
              <w:rFonts w:ascii="Republika" w:hAnsi="Republika"/>
              <w:sz w:val="60"/>
              <w:szCs w:val="60"/>
              <w:lang w:val="sl-SI"/>
            </w:rPr>
          </w:pPr>
        </w:p>
        <w:p w14:paraId="4A88BAD7" w14:textId="77777777" w:rsidR="000B0B21" w:rsidRPr="006D42D9" w:rsidRDefault="000B0B21" w:rsidP="006D42D9">
          <w:pPr>
            <w:pStyle w:val="Normal2"/>
            <w:rPr>
              <w:rFonts w:ascii="Republika" w:hAnsi="Republika"/>
              <w:sz w:val="60"/>
              <w:szCs w:val="60"/>
              <w:lang w:val="sl-SI"/>
            </w:rPr>
          </w:pPr>
        </w:p>
        <w:p w14:paraId="4A88BAD8" w14:textId="77777777" w:rsidR="000B0B21" w:rsidRPr="006D42D9" w:rsidRDefault="000B0B21" w:rsidP="006D42D9">
          <w:pPr>
            <w:pStyle w:val="Normal2"/>
            <w:rPr>
              <w:rFonts w:ascii="Republika" w:hAnsi="Republika"/>
              <w:sz w:val="60"/>
              <w:szCs w:val="60"/>
              <w:lang w:val="sl-SI"/>
            </w:rPr>
          </w:pPr>
        </w:p>
      </w:tc>
    </w:tr>
  </w:tbl>
  <w:p w14:paraId="4A88BADA" w14:textId="77777777" w:rsidR="000B0B21" w:rsidRPr="008F3500" w:rsidRDefault="0072679D" w:rsidP="00924E3C">
    <w:pPr>
      <w:pStyle w:val="Normal3"/>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8240" behindDoc="1" locked="0" layoutInCell="0" allowOverlap="1" wp14:anchorId="4A88BAE4" wp14:editId="4A88BAE5">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Line 5" o:spid="_x0000_s2049" style="mso-height-percent:0;mso-height-relative:page;mso-position-vertical-relative:page;mso-width-percent:0;mso-width-relative:page;mso-wrap-distance-bottom:0;mso-wrap-distance-left:9pt;mso-wrap-distance-right:9pt;mso-wrap-distance-top:0;mso-wrap-style:square;position:absolute;visibility:visible;z-index:-251657216" from="-34pt,283.5pt" to="-14.15pt,283.5pt" o:allowincell="f" strokecolor="#428299" strokeweight="0.5pt"/>
          </w:pict>
        </mc:Fallback>
      </mc:AlternateContent>
    </w:r>
    <w:r w:rsidRPr="008F3500">
      <w:rPr>
        <w:rFonts w:ascii="Republika" w:hAnsi="Republika"/>
        <w:lang w:val="sl-SI"/>
      </w:rPr>
      <w:t>REPUBLIKA SLOVENIJA</w:t>
    </w:r>
  </w:p>
  <w:p w14:paraId="4A88BADB" w14:textId="77777777" w:rsidR="000B0B21" w:rsidRPr="00FD746A" w:rsidRDefault="0072679D" w:rsidP="00924E3C">
    <w:pPr>
      <w:pStyle w:val="Header1"/>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4A88BADC" w14:textId="77777777" w:rsidR="00ED7E82" w:rsidRDefault="0072679D" w:rsidP="00ED7E82">
    <w:pPr>
      <w:pStyle w:val="Header2"/>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4A88BADD" w14:textId="77777777" w:rsidR="000B0B21" w:rsidRPr="00A12D5C" w:rsidRDefault="0072679D" w:rsidP="00ED7E82">
    <w:pPr>
      <w:pStyle w:val="Header3"/>
      <w:tabs>
        <w:tab w:val="clear" w:pos="4320"/>
        <w:tab w:val="clear" w:pos="8640"/>
        <w:tab w:val="left" w:pos="5112"/>
      </w:tabs>
      <w:spacing w:before="120" w:line="240" w:lineRule="exact"/>
      <w:rPr>
        <w:rFonts w:ascii="Republika" w:hAnsi="Republika"/>
        <w:caps/>
        <w:lang w:val="sl-SI"/>
      </w:rPr>
    </w:pPr>
    <w:r>
      <w:rPr>
        <w:rFonts w:ascii="Republika" w:hAnsi="Republika"/>
        <w:lang w:val="sl-SI"/>
      </w:rPr>
      <w:t xml:space="preserve">Generalni </w:t>
    </w:r>
    <w:r w:rsidR="00F907E8">
      <w:rPr>
        <w:rFonts w:ascii="Republika" w:hAnsi="Republika"/>
        <w:lang w:val="sl-SI"/>
      </w:rPr>
      <w:t>finančni</w:t>
    </w:r>
    <w:r>
      <w:rPr>
        <w:rFonts w:ascii="Republika" w:hAnsi="Republika"/>
        <w:lang w:val="sl-SI"/>
      </w:rPr>
      <w:t xml:space="preserve"> urad</w:t>
    </w:r>
  </w:p>
  <w:p w14:paraId="4A88BADE" w14:textId="77777777" w:rsidR="000B0B21" w:rsidRPr="008F3500" w:rsidRDefault="0072679D" w:rsidP="00ED7E82">
    <w:pPr>
      <w:pStyle w:val="Header4"/>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 xml:space="preserve">01 478 </w:t>
    </w:r>
    <w:r w:rsidR="00F907E8">
      <w:rPr>
        <w:rFonts w:cs="Arial"/>
        <w:sz w:val="16"/>
        <w:lang w:val="sl-SI"/>
      </w:rPr>
      <w:t>38</w:t>
    </w:r>
    <w:r>
      <w:rPr>
        <w:rFonts w:cs="Arial"/>
        <w:sz w:val="16"/>
        <w:lang w:val="sl-SI"/>
      </w:rPr>
      <w:t xml:space="preserve"> 00</w:t>
    </w:r>
  </w:p>
  <w:p w14:paraId="4A88BADF" w14:textId="77777777" w:rsidR="000B0B21" w:rsidRPr="008F3500" w:rsidRDefault="0072679D" w:rsidP="00924E3C">
    <w:pPr>
      <w:pStyle w:val="Header5"/>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A12D5C">
      <w:rPr>
        <w:rFonts w:cs="Arial"/>
        <w:sz w:val="16"/>
        <w:lang w:val="sl-SI"/>
      </w:rPr>
      <w:t xml:space="preserve">01 478 </w:t>
    </w:r>
    <w:r w:rsidR="00F907E8">
      <w:rPr>
        <w:rFonts w:cs="Arial"/>
        <w:sz w:val="16"/>
        <w:lang w:val="sl-SI"/>
      </w:rPr>
      <w:t>39</w:t>
    </w:r>
    <w:r w:rsidR="00A12D5C">
      <w:rPr>
        <w:rFonts w:cs="Arial"/>
        <w:sz w:val="16"/>
        <w:lang w:val="sl-SI"/>
      </w:rPr>
      <w:t xml:space="preserve"> </w:t>
    </w:r>
    <w:r w:rsidR="00F907E8">
      <w:rPr>
        <w:rFonts w:cs="Arial"/>
        <w:sz w:val="16"/>
        <w:lang w:val="sl-SI"/>
      </w:rPr>
      <w:t>00</w:t>
    </w:r>
    <w:r w:rsidRPr="008F3500">
      <w:rPr>
        <w:rFonts w:cs="Arial"/>
        <w:sz w:val="16"/>
        <w:lang w:val="sl-SI"/>
      </w:rPr>
      <w:t xml:space="preserve"> </w:t>
    </w:r>
  </w:p>
  <w:p w14:paraId="4A88BAE0" w14:textId="77777777" w:rsidR="000B0B21" w:rsidRPr="008F3500" w:rsidRDefault="0072679D" w:rsidP="007D75CF">
    <w:pPr>
      <w:pStyle w:val="Header6"/>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907E8">
      <w:rPr>
        <w:rFonts w:cs="Arial"/>
        <w:sz w:val="16"/>
        <w:lang w:val="sl-SI"/>
      </w:rPr>
      <w:t>gfu</w:t>
    </w:r>
    <w:r w:rsidR="00A12D5C">
      <w:rPr>
        <w:rFonts w:cs="Arial"/>
        <w:sz w:val="16"/>
        <w:lang w:val="sl-SI"/>
      </w:rPr>
      <w:t>.</w:t>
    </w:r>
    <w:r w:rsidR="00F907E8">
      <w:rPr>
        <w:rFonts w:cs="Arial"/>
        <w:sz w:val="16"/>
        <w:lang w:val="sl-SI"/>
      </w:rPr>
      <w:t>fu</w:t>
    </w:r>
    <w:r w:rsidR="00A12D5C">
      <w:rPr>
        <w:rFonts w:cs="Arial"/>
        <w:sz w:val="16"/>
        <w:lang w:val="sl-SI"/>
      </w:rPr>
      <w:t>@gov.si</w:t>
    </w:r>
  </w:p>
  <w:p w14:paraId="4A88BAE1" w14:textId="77777777" w:rsidR="000B0B21" w:rsidRPr="008F3500" w:rsidRDefault="0072679D" w:rsidP="007D75CF">
    <w:pPr>
      <w:pStyle w:val="Header7"/>
      <w:tabs>
        <w:tab w:val="clear" w:pos="4320"/>
        <w:tab w:val="clear" w:pos="8640"/>
        <w:tab w:val="left" w:pos="5112"/>
      </w:tabs>
      <w:spacing w:line="240" w:lineRule="exact"/>
      <w:rPr>
        <w:rFonts w:cs="Arial"/>
        <w:sz w:val="16"/>
        <w:lang w:val="sl-SI"/>
      </w:rPr>
    </w:pPr>
    <w:r w:rsidRPr="008F3500">
      <w:rPr>
        <w:rFonts w:cs="Arial"/>
        <w:sz w:val="16"/>
        <w:lang w:val="sl-SI"/>
      </w:rPr>
      <w:tab/>
    </w:r>
    <w:r w:rsidR="00A12D5C">
      <w:rPr>
        <w:rFonts w:cs="Arial"/>
        <w:sz w:val="16"/>
        <w:lang w:val="sl-SI"/>
      </w:rPr>
      <w:t>www.</w:t>
    </w:r>
    <w:r w:rsidR="00F907E8">
      <w:rPr>
        <w:rFonts w:cs="Arial"/>
        <w:sz w:val="16"/>
        <w:lang w:val="sl-SI"/>
      </w:rPr>
      <w:t>fu</w:t>
    </w:r>
    <w:r w:rsidR="00A12D5C">
      <w:rPr>
        <w:rFonts w:cs="Arial"/>
        <w:sz w:val="16"/>
        <w:lang w:val="sl-SI"/>
      </w:rPr>
      <w:t>.gov.si</w:t>
    </w:r>
  </w:p>
  <w:p w14:paraId="4A88BAE2" w14:textId="77777777" w:rsidR="000B0B21" w:rsidRPr="008F3500" w:rsidRDefault="000B0B21" w:rsidP="007D75CF">
    <w:pPr>
      <w:pStyle w:val="Header8"/>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EE3E54DE">
      <w:start w:val="1"/>
      <w:numFmt w:val="decimal"/>
      <w:lvlText w:val="%1."/>
      <w:lvlJc w:val="left"/>
      <w:pPr>
        <w:tabs>
          <w:tab w:val="num" w:pos="1080"/>
        </w:tabs>
        <w:ind w:left="1080" w:hanging="360"/>
      </w:pPr>
      <w:rPr>
        <w:rFonts w:hint="default"/>
      </w:rPr>
    </w:lvl>
    <w:lvl w:ilvl="1" w:tplc="29B8EE5C" w:tentative="1">
      <w:start w:val="1"/>
      <w:numFmt w:val="lowerLetter"/>
      <w:lvlText w:val="%2."/>
      <w:lvlJc w:val="left"/>
      <w:pPr>
        <w:ind w:left="1800" w:hanging="360"/>
      </w:pPr>
    </w:lvl>
    <w:lvl w:ilvl="2" w:tplc="D0C6D9E0" w:tentative="1">
      <w:start w:val="1"/>
      <w:numFmt w:val="lowerRoman"/>
      <w:lvlText w:val="%3."/>
      <w:lvlJc w:val="right"/>
      <w:pPr>
        <w:ind w:left="2520" w:hanging="180"/>
      </w:pPr>
    </w:lvl>
    <w:lvl w:ilvl="3" w:tplc="0804DEFA" w:tentative="1">
      <w:start w:val="1"/>
      <w:numFmt w:val="decimal"/>
      <w:lvlText w:val="%4."/>
      <w:lvlJc w:val="left"/>
      <w:pPr>
        <w:ind w:left="3240" w:hanging="360"/>
      </w:pPr>
    </w:lvl>
    <w:lvl w:ilvl="4" w:tplc="B4C4490A" w:tentative="1">
      <w:start w:val="1"/>
      <w:numFmt w:val="lowerLetter"/>
      <w:lvlText w:val="%5."/>
      <w:lvlJc w:val="left"/>
      <w:pPr>
        <w:ind w:left="3960" w:hanging="360"/>
      </w:pPr>
    </w:lvl>
    <w:lvl w:ilvl="5" w:tplc="8D8A5626" w:tentative="1">
      <w:start w:val="1"/>
      <w:numFmt w:val="lowerRoman"/>
      <w:lvlText w:val="%6."/>
      <w:lvlJc w:val="right"/>
      <w:pPr>
        <w:ind w:left="4680" w:hanging="180"/>
      </w:pPr>
    </w:lvl>
    <w:lvl w:ilvl="6" w:tplc="567A0108" w:tentative="1">
      <w:start w:val="1"/>
      <w:numFmt w:val="decimal"/>
      <w:lvlText w:val="%7."/>
      <w:lvlJc w:val="left"/>
      <w:pPr>
        <w:ind w:left="5400" w:hanging="360"/>
      </w:pPr>
    </w:lvl>
    <w:lvl w:ilvl="7" w:tplc="E71CAD96" w:tentative="1">
      <w:start w:val="1"/>
      <w:numFmt w:val="lowerLetter"/>
      <w:lvlText w:val="%8."/>
      <w:lvlJc w:val="left"/>
      <w:pPr>
        <w:ind w:left="6120" w:hanging="360"/>
      </w:pPr>
    </w:lvl>
    <w:lvl w:ilvl="8" w:tplc="E2E4BF7A" w:tentative="1">
      <w:start w:val="1"/>
      <w:numFmt w:val="lowerRoman"/>
      <w:lvlText w:val="%9."/>
      <w:lvlJc w:val="right"/>
      <w:pPr>
        <w:ind w:left="6840" w:hanging="180"/>
      </w:pPr>
    </w:lvl>
  </w:abstractNum>
  <w:abstractNum w:abstractNumId="1" w15:restartNumberingAfterBreak="0">
    <w:nsid w:val="140660EB"/>
    <w:multiLevelType w:val="hybridMultilevel"/>
    <w:tmpl w:val="AD5C1BC8"/>
    <w:lvl w:ilvl="0" w:tplc="C332F2F0">
      <w:start w:val="3"/>
      <w:numFmt w:val="decimal"/>
      <w:lvlText w:val="%1."/>
      <w:lvlJc w:val="left"/>
      <w:pPr>
        <w:ind w:left="360" w:hanging="360"/>
      </w:pPr>
      <w:rPr>
        <w:rFonts w:ascii="Arial" w:hAnsi="Arial" w:hint="default"/>
        <w:sz w:val="20"/>
      </w:rPr>
    </w:lvl>
    <w:lvl w:ilvl="1" w:tplc="6C60043A" w:tentative="1">
      <w:start w:val="1"/>
      <w:numFmt w:val="lowerLetter"/>
      <w:lvlText w:val="%2."/>
      <w:lvlJc w:val="left"/>
      <w:pPr>
        <w:ind w:left="1440" w:hanging="360"/>
      </w:pPr>
    </w:lvl>
    <w:lvl w:ilvl="2" w:tplc="9392CCBA" w:tentative="1">
      <w:start w:val="1"/>
      <w:numFmt w:val="lowerRoman"/>
      <w:lvlText w:val="%3."/>
      <w:lvlJc w:val="right"/>
      <w:pPr>
        <w:ind w:left="2160" w:hanging="180"/>
      </w:pPr>
    </w:lvl>
    <w:lvl w:ilvl="3" w:tplc="7F22DEA2" w:tentative="1">
      <w:start w:val="1"/>
      <w:numFmt w:val="decimal"/>
      <w:lvlText w:val="%4."/>
      <w:lvlJc w:val="left"/>
      <w:pPr>
        <w:ind w:left="2880" w:hanging="360"/>
      </w:pPr>
    </w:lvl>
    <w:lvl w:ilvl="4" w:tplc="8F5C66B6" w:tentative="1">
      <w:start w:val="1"/>
      <w:numFmt w:val="lowerLetter"/>
      <w:lvlText w:val="%5."/>
      <w:lvlJc w:val="left"/>
      <w:pPr>
        <w:ind w:left="3600" w:hanging="360"/>
      </w:pPr>
    </w:lvl>
    <w:lvl w:ilvl="5" w:tplc="F0E4E18A" w:tentative="1">
      <w:start w:val="1"/>
      <w:numFmt w:val="lowerRoman"/>
      <w:lvlText w:val="%6."/>
      <w:lvlJc w:val="right"/>
      <w:pPr>
        <w:ind w:left="4320" w:hanging="180"/>
      </w:pPr>
    </w:lvl>
    <w:lvl w:ilvl="6" w:tplc="F8FEC394" w:tentative="1">
      <w:start w:val="1"/>
      <w:numFmt w:val="decimal"/>
      <w:lvlText w:val="%7."/>
      <w:lvlJc w:val="left"/>
      <w:pPr>
        <w:ind w:left="5040" w:hanging="360"/>
      </w:pPr>
    </w:lvl>
    <w:lvl w:ilvl="7" w:tplc="994EEA50" w:tentative="1">
      <w:start w:val="1"/>
      <w:numFmt w:val="lowerLetter"/>
      <w:lvlText w:val="%8."/>
      <w:lvlJc w:val="left"/>
      <w:pPr>
        <w:ind w:left="5760" w:hanging="360"/>
      </w:pPr>
    </w:lvl>
    <w:lvl w:ilvl="8" w:tplc="97EA571C" w:tentative="1">
      <w:start w:val="1"/>
      <w:numFmt w:val="lowerRoman"/>
      <w:lvlText w:val="%9."/>
      <w:lvlJc w:val="right"/>
      <w:pPr>
        <w:ind w:left="6480" w:hanging="180"/>
      </w:pPr>
    </w:lvl>
  </w:abstractNum>
  <w:abstractNum w:abstractNumId="2" w15:restartNumberingAfterBreak="0">
    <w:nsid w:val="15185C12"/>
    <w:multiLevelType w:val="hybridMultilevel"/>
    <w:tmpl w:val="BF06C40C"/>
    <w:lvl w:ilvl="0" w:tplc="6E4A7F2A">
      <w:start w:val="1"/>
      <w:numFmt w:val="decimal"/>
      <w:lvlText w:val="%1."/>
      <w:lvlJc w:val="left"/>
      <w:pPr>
        <w:tabs>
          <w:tab w:val="num" w:pos="360"/>
        </w:tabs>
        <w:ind w:left="360" w:hanging="360"/>
      </w:pPr>
      <w:rPr>
        <w:rFonts w:hint="default"/>
      </w:rPr>
    </w:lvl>
    <w:lvl w:ilvl="1" w:tplc="1152D898" w:tentative="1">
      <w:start w:val="1"/>
      <w:numFmt w:val="lowerLetter"/>
      <w:lvlText w:val="%2."/>
      <w:lvlJc w:val="left"/>
      <w:pPr>
        <w:ind w:left="1080" w:hanging="360"/>
      </w:pPr>
    </w:lvl>
    <w:lvl w:ilvl="2" w:tplc="EC120284" w:tentative="1">
      <w:start w:val="1"/>
      <w:numFmt w:val="lowerRoman"/>
      <w:lvlText w:val="%3."/>
      <w:lvlJc w:val="right"/>
      <w:pPr>
        <w:ind w:left="1800" w:hanging="180"/>
      </w:pPr>
    </w:lvl>
    <w:lvl w:ilvl="3" w:tplc="DE3E823E" w:tentative="1">
      <w:start w:val="1"/>
      <w:numFmt w:val="decimal"/>
      <w:lvlText w:val="%4."/>
      <w:lvlJc w:val="left"/>
      <w:pPr>
        <w:ind w:left="2520" w:hanging="360"/>
      </w:pPr>
    </w:lvl>
    <w:lvl w:ilvl="4" w:tplc="25022522" w:tentative="1">
      <w:start w:val="1"/>
      <w:numFmt w:val="lowerLetter"/>
      <w:lvlText w:val="%5."/>
      <w:lvlJc w:val="left"/>
      <w:pPr>
        <w:ind w:left="3240" w:hanging="360"/>
      </w:pPr>
    </w:lvl>
    <w:lvl w:ilvl="5" w:tplc="EF6EF09E" w:tentative="1">
      <w:start w:val="1"/>
      <w:numFmt w:val="lowerRoman"/>
      <w:lvlText w:val="%6."/>
      <w:lvlJc w:val="right"/>
      <w:pPr>
        <w:ind w:left="3960" w:hanging="180"/>
      </w:pPr>
    </w:lvl>
    <w:lvl w:ilvl="6" w:tplc="8EB433DE" w:tentative="1">
      <w:start w:val="1"/>
      <w:numFmt w:val="decimal"/>
      <w:lvlText w:val="%7."/>
      <w:lvlJc w:val="left"/>
      <w:pPr>
        <w:ind w:left="4680" w:hanging="360"/>
      </w:pPr>
    </w:lvl>
    <w:lvl w:ilvl="7" w:tplc="363AB0F0" w:tentative="1">
      <w:start w:val="1"/>
      <w:numFmt w:val="lowerLetter"/>
      <w:lvlText w:val="%8."/>
      <w:lvlJc w:val="left"/>
      <w:pPr>
        <w:ind w:left="5400" w:hanging="360"/>
      </w:pPr>
    </w:lvl>
    <w:lvl w:ilvl="8" w:tplc="5644F5C2" w:tentative="1">
      <w:start w:val="1"/>
      <w:numFmt w:val="lowerRoman"/>
      <w:lvlText w:val="%9."/>
      <w:lvlJc w:val="right"/>
      <w:pPr>
        <w:ind w:left="6120" w:hanging="180"/>
      </w:pPr>
    </w:lvl>
  </w:abstractNum>
  <w:abstractNum w:abstractNumId="3" w15:restartNumberingAfterBreak="0">
    <w:nsid w:val="261E1468"/>
    <w:multiLevelType w:val="hybridMultilevel"/>
    <w:tmpl w:val="73C0281A"/>
    <w:lvl w:ilvl="0" w:tplc="6CF0ADC8">
      <w:start w:val="1"/>
      <w:numFmt w:val="decimal"/>
      <w:lvlText w:val="%1."/>
      <w:lvlJc w:val="left"/>
      <w:pPr>
        <w:ind w:left="720" w:hanging="360"/>
      </w:pPr>
      <w:rPr>
        <w:rFonts w:hint="default"/>
        <w:color w:val="auto"/>
      </w:rPr>
    </w:lvl>
    <w:lvl w:ilvl="1" w:tplc="5D642C30" w:tentative="1">
      <w:start w:val="1"/>
      <w:numFmt w:val="lowerLetter"/>
      <w:lvlText w:val="%2."/>
      <w:lvlJc w:val="left"/>
      <w:pPr>
        <w:ind w:left="1440" w:hanging="360"/>
      </w:pPr>
    </w:lvl>
    <w:lvl w:ilvl="2" w:tplc="77347446" w:tentative="1">
      <w:start w:val="1"/>
      <w:numFmt w:val="lowerRoman"/>
      <w:lvlText w:val="%3."/>
      <w:lvlJc w:val="right"/>
      <w:pPr>
        <w:ind w:left="2160" w:hanging="180"/>
      </w:pPr>
    </w:lvl>
    <w:lvl w:ilvl="3" w:tplc="2F1A6DA6" w:tentative="1">
      <w:start w:val="1"/>
      <w:numFmt w:val="decimal"/>
      <w:lvlText w:val="%4."/>
      <w:lvlJc w:val="left"/>
      <w:pPr>
        <w:ind w:left="2880" w:hanging="360"/>
      </w:pPr>
    </w:lvl>
    <w:lvl w:ilvl="4" w:tplc="19CCF878" w:tentative="1">
      <w:start w:val="1"/>
      <w:numFmt w:val="lowerLetter"/>
      <w:lvlText w:val="%5."/>
      <w:lvlJc w:val="left"/>
      <w:pPr>
        <w:ind w:left="3600" w:hanging="360"/>
      </w:pPr>
    </w:lvl>
    <w:lvl w:ilvl="5" w:tplc="97FAB644" w:tentative="1">
      <w:start w:val="1"/>
      <w:numFmt w:val="lowerRoman"/>
      <w:lvlText w:val="%6."/>
      <w:lvlJc w:val="right"/>
      <w:pPr>
        <w:ind w:left="4320" w:hanging="180"/>
      </w:pPr>
    </w:lvl>
    <w:lvl w:ilvl="6" w:tplc="F5BEFA62" w:tentative="1">
      <w:start w:val="1"/>
      <w:numFmt w:val="decimal"/>
      <w:lvlText w:val="%7."/>
      <w:lvlJc w:val="left"/>
      <w:pPr>
        <w:ind w:left="5040" w:hanging="360"/>
      </w:pPr>
    </w:lvl>
    <w:lvl w:ilvl="7" w:tplc="0A7C8D04" w:tentative="1">
      <w:start w:val="1"/>
      <w:numFmt w:val="lowerLetter"/>
      <w:lvlText w:val="%8."/>
      <w:lvlJc w:val="left"/>
      <w:pPr>
        <w:ind w:left="5760" w:hanging="360"/>
      </w:pPr>
    </w:lvl>
    <w:lvl w:ilvl="8" w:tplc="554238A4" w:tentative="1">
      <w:start w:val="1"/>
      <w:numFmt w:val="lowerRoman"/>
      <w:lvlText w:val="%9."/>
      <w:lvlJc w:val="right"/>
      <w:pPr>
        <w:ind w:left="6480" w:hanging="180"/>
      </w:pPr>
    </w:lvl>
  </w:abstractNum>
  <w:abstractNum w:abstractNumId="4" w15:restartNumberingAfterBreak="0">
    <w:nsid w:val="2D072372"/>
    <w:multiLevelType w:val="hybridMultilevel"/>
    <w:tmpl w:val="94FE8146"/>
    <w:lvl w:ilvl="0" w:tplc="E77ADCB0">
      <w:start w:val="1"/>
      <w:numFmt w:val="decimal"/>
      <w:lvlText w:val="%1."/>
      <w:lvlJc w:val="left"/>
      <w:pPr>
        <w:tabs>
          <w:tab w:val="num" w:pos="720"/>
        </w:tabs>
        <w:ind w:left="720" w:hanging="360"/>
      </w:pPr>
      <w:rPr>
        <w:rFonts w:hint="default"/>
      </w:rPr>
    </w:lvl>
    <w:lvl w:ilvl="1" w:tplc="E6643518" w:tentative="1">
      <w:start w:val="1"/>
      <w:numFmt w:val="lowerLetter"/>
      <w:lvlText w:val="%2."/>
      <w:lvlJc w:val="left"/>
      <w:pPr>
        <w:tabs>
          <w:tab w:val="num" w:pos="1440"/>
        </w:tabs>
        <w:ind w:left="1440" w:hanging="360"/>
      </w:pPr>
    </w:lvl>
    <w:lvl w:ilvl="2" w:tplc="3C3AF28A" w:tentative="1">
      <w:start w:val="1"/>
      <w:numFmt w:val="lowerRoman"/>
      <w:lvlText w:val="%3."/>
      <w:lvlJc w:val="right"/>
      <w:pPr>
        <w:tabs>
          <w:tab w:val="num" w:pos="2160"/>
        </w:tabs>
        <w:ind w:left="2160" w:hanging="180"/>
      </w:pPr>
    </w:lvl>
    <w:lvl w:ilvl="3" w:tplc="4B4635D0" w:tentative="1">
      <w:start w:val="1"/>
      <w:numFmt w:val="decimal"/>
      <w:lvlText w:val="%4."/>
      <w:lvlJc w:val="left"/>
      <w:pPr>
        <w:tabs>
          <w:tab w:val="num" w:pos="2880"/>
        </w:tabs>
        <w:ind w:left="2880" w:hanging="360"/>
      </w:pPr>
    </w:lvl>
    <w:lvl w:ilvl="4" w:tplc="B942A226" w:tentative="1">
      <w:start w:val="1"/>
      <w:numFmt w:val="lowerLetter"/>
      <w:lvlText w:val="%5."/>
      <w:lvlJc w:val="left"/>
      <w:pPr>
        <w:tabs>
          <w:tab w:val="num" w:pos="3600"/>
        </w:tabs>
        <w:ind w:left="3600" w:hanging="360"/>
      </w:pPr>
    </w:lvl>
    <w:lvl w:ilvl="5" w:tplc="11BEF3CC" w:tentative="1">
      <w:start w:val="1"/>
      <w:numFmt w:val="lowerRoman"/>
      <w:lvlText w:val="%6."/>
      <w:lvlJc w:val="right"/>
      <w:pPr>
        <w:tabs>
          <w:tab w:val="num" w:pos="4320"/>
        </w:tabs>
        <w:ind w:left="4320" w:hanging="180"/>
      </w:pPr>
    </w:lvl>
    <w:lvl w:ilvl="6" w:tplc="96282A6A" w:tentative="1">
      <w:start w:val="1"/>
      <w:numFmt w:val="decimal"/>
      <w:lvlText w:val="%7."/>
      <w:lvlJc w:val="left"/>
      <w:pPr>
        <w:tabs>
          <w:tab w:val="num" w:pos="5040"/>
        </w:tabs>
        <w:ind w:left="5040" w:hanging="360"/>
      </w:pPr>
    </w:lvl>
    <w:lvl w:ilvl="7" w:tplc="68200AD4" w:tentative="1">
      <w:start w:val="1"/>
      <w:numFmt w:val="lowerLetter"/>
      <w:lvlText w:val="%8."/>
      <w:lvlJc w:val="left"/>
      <w:pPr>
        <w:tabs>
          <w:tab w:val="num" w:pos="5760"/>
        </w:tabs>
        <w:ind w:left="5760" w:hanging="360"/>
      </w:pPr>
    </w:lvl>
    <w:lvl w:ilvl="8" w:tplc="B43C1478"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68C1328"/>
    <w:multiLevelType w:val="hybridMultilevel"/>
    <w:tmpl w:val="97F06798"/>
    <w:lvl w:ilvl="0" w:tplc="2EE6B64A">
      <w:start w:val="1"/>
      <w:numFmt w:val="decimal"/>
      <w:lvlText w:val="%1."/>
      <w:lvlJc w:val="left"/>
      <w:pPr>
        <w:ind w:left="360" w:hanging="360"/>
      </w:pPr>
      <w:rPr>
        <w:rFonts w:ascii="Arial" w:hAnsi="Arial" w:hint="default"/>
        <w:sz w:val="20"/>
      </w:rPr>
    </w:lvl>
    <w:lvl w:ilvl="1" w:tplc="CC46481C">
      <w:start w:val="1"/>
      <w:numFmt w:val="lowerLetter"/>
      <w:lvlText w:val="%2."/>
      <w:lvlJc w:val="left"/>
      <w:pPr>
        <w:ind w:left="1080" w:hanging="360"/>
      </w:pPr>
    </w:lvl>
    <w:lvl w:ilvl="2" w:tplc="C66810D4" w:tentative="1">
      <w:start w:val="1"/>
      <w:numFmt w:val="lowerRoman"/>
      <w:lvlText w:val="%3."/>
      <w:lvlJc w:val="right"/>
      <w:pPr>
        <w:ind w:left="1800" w:hanging="180"/>
      </w:pPr>
    </w:lvl>
    <w:lvl w:ilvl="3" w:tplc="F9F0121E" w:tentative="1">
      <w:start w:val="1"/>
      <w:numFmt w:val="decimal"/>
      <w:lvlText w:val="%4."/>
      <w:lvlJc w:val="left"/>
      <w:pPr>
        <w:ind w:left="2520" w:hanging="360"/>
      </w:pPr>
    </w:lvl>
    <w:lvl w:ilvl="4" w:tplc="587E2E00" w:tentative="1">
      <w:start w:val="1"/>
      <w:numFmt w:val="lowerLetter"/>
      <w:lvlText w:val="%5."/>
      <w:lvlJc w:val="left"/>
      <w:pPr>
        <w:ind w:left="3240" w:hanging="360"/>
      </w:pPr>
    </w:lvl>
    <w:lvl w:ilvl="5" w:tplc="2698DD46" w:tentative="1">
      <w:start w:val="1"/>
      <w:numFmt w:val="lowerRoman"/>
      <w:lvlText w:val="%6."/>
      <w:lvlJc w:val="right"/>
      <w:pPr>
        <w:ind w:left="3960" w:hanging="180"/>
      </w:pPr>
    </w:lvl>
    <w:lvl w:ilvl="6" w:tplc="57360464" w:tentative="1">
      <w:start w:val="1"/>
      <w:numFmt w:val="decimal"/>
      <w:lvlText w:val="%7."/>
      <w:lvlJc w:val="left"/>
      <w:pPr>
        <w:ind w:left="4680" w:hanging="360"/>
      </w:pPr>
    </w:lvl>
    <w:lvl w:ilvl="7" w:tplc="D57238E2" w:tentative="1">
      <w:start w:val="1"/>
      <w:numFmt w:val="lowerLetter"/>
      <w:lvlText w:val="%8."/>
      <w:lvlJc w:val="left"/>
      <w:pPr>
        <w:ind w:left="5400" w:hanging="360"/>
      </w:pPr>
    </w:lvl>
    <w:lvl w:ilvl="8" w:tplc="A8D6936A" w:tentative="1">
      <w:start w:val="1"/>
      <w:numFmt w:val="lowerRoman"/>
      <w:lvlText w:val="%9."/>
      <w:lvlJc w:val="right"/>
      <w:pPr>
        <w:ind w:left="6120" w:hanging="180"/>
      </w:pPr>
    </w:lvl>
  </w:abstractNum>
  <w:abstractNum w:abstractNumId="7" w15:restartNumberingAfterBreak="0">
    <w:nsid w:val="63AA4C44"/>
    <w:multiLevelType w:val="hybridMultilevel"/>
    <w:tmpl w:val="092E92F6"/>
    <w:lvl w:ilvl="0" w:tplc="538ED270">
      <w:start w:val="1"/>
      <w:numFmt w:val="decimal"/>
      <w:lvlText w:val="%1."/>
      <w:lvlJc w:val="left"/>
      <w:pPr>
        <w:tabs>
          <w:tab w:val="num" w:pos="720"/>
        </w:tabs>
        <w:ind w:left="720" w:hanging="360"/>
      </w:pPr>
    </w:lvl>
    <w:lvl w:ilvl="1" w:tplc="9AF4F8DE" w:tentative="1">
      <w:start w:val="1"/>
      <w:numFmt w:val="lowerLetter"/>
      <w:lvlText w:val="%2."/>
      <w:lvlJc w:val="left"/>
      <w:pPr>
        <w:tabs>
          <w:tab w:val="num" w:pos="1440"/>
        </w:tabs>
        <w:ind w:left="1440" w:hanging="360"/>
      </w:pPr>
    </w:lvl>
    <w:lvl w:ilvl="2" w:tplc="DFA8BF5E" w:tentative="1">
      <w:start w:val="1"/>
      <w:numFmt w:val="lowerRoman"/>
      <w:lvlText w:val="%3."/>
      <w:lvlJc w:val="right"/>
      <w:pPr>
        <w:tabs>
          <w:tab w:val="num" w:pos="2160"/>
        </w:tabs>
        <w:ind w:left="2160" w:hanging="180"/>
      </w:pPr>
    </w:lvl>
    <w:lvl w:ilvl="3" w:tplc="EB48A7B0" w:tentative="1">
      <w:start w:val="1"/>
      <w:numFmt w:val="decimal"/>
      <w:lvlText w:val="%4."/>
      <w:lvlJc w:val="left"/>
      <w:pPr>
        <w:tabs>
          <w:tab w:val="num" w:pos="2880"/>
        </w:tabs>
        <w:ind w:left="2880" w:hanging="360"/>
      </w:pPr>
    </w:lvl>
    <w:lvl w:ilvl="4" w:tplc="88CC9D44" w:tentative="1">
      <w:start w:val="1"/>
      <w:numFmt w:val="lowerLetter"/>
      <w:lvlText w:val="%5."/>
      <w:lvlJc w:val="left"/>
      <w:pPr>
        <w:tabs>
          <w:tab w:val="num" w:pos="3600"/>
        </w:tabs>
        <w:ind w:left="3600" w:hanging="360"/>
      </w:pPr>
    </w:lvl>
    <w:lvl w:ilvl="5" w:tplc="B4468CD2" w:tentative="1">
      <w:start w:val="1"/>
      <w:numFmt w:val="lowerRoman"/>
      <w:lvlText w:val="%6."/>
      <w:lvlJc w:val="right"/>
      <w:pPr>
        <w:tabs>
          <w:tab w:val="num" w:pos="4320"/>
        </w:tabs>
        <w:ind w:left="4320" w:hanging="180"/>
      </w:pPr>
    </w:lvl>
    <w:lvl w:ilvl="6" w:tplc="DEE0F164" w:tentative="1">
      <w:start w:val="1"/>
      <w:numFmt w:val="decimal"/>
      <w:lvlText w:val="%7."/>
      <w:lvlJc w:val="left"/>
      <w:pPr>
        <w:tabs>
          <w:tab w:val="num" w:pos="5040"/>
        </w:tabs>
        <w:ind w:left="5040" w:hanging="360"/>
      </w:pPr>
    </w:lvl>
    <w:lvl w:ilvl="7" w:tplc="1DF210EE" w:tentative="1">
      <w:start w:val="1"/>
      <w:numFmt w:val="lowerLetter"/>
      <w:lvlText w:val="%8."/>
      <w:lvlJc w:val="left"/>
      <w:pPr>
        <w:tabs>
          <w:tab w:val="num" w:pos="5760"/>
        </w:tabs>
        <w:ind w:left="5760" w:hanging="360"/>
      </w:pPr>
    </w:lvl>
    <w:lvl w:ilvl="8" w:tplc="C0945DC6" w:tentative="1">
      <w:start w:val="1"/>
      <w:numFmt w:val="lowerRoman"/>
      <w:lvlText w:val="%9."/>
      <w:lvlJc w:val="right"/>
      <w:pPr>
        <w:tabs>
          <w:tab w:val="num" w:pos="6480"/>
        </w:tabs>
        <w:ind w:left="6480" w:hanging="180"/>
      </w:pPr>
    </w:lvl>
  </w:abstractNum>
  <w:abstractNum w:abstractNumId="8" w15:restartNumberingAfterBreak="0">
    <w:nsid w:val="6BD22DBD"/>
    <w:multiLevelType w:val="hybridMultilevel"/>
    <w:tmpl w:val="241CC7F4"/>
    <w:lvl w:ilvl="0" w:tplc="E1540F38">
      <w:start w:val="1"/>
      <w:numFmt w:val="decimal"/>
      <w:lvlText w:val="%1."/>
      <w:lvlJc w:val="left"/>
      <w:pPr>
        <w:ind w:left="360" w:hanging="360"/>
      </w:pPr>
      <w:rPr>
        <w:rFonts w:ascii="Arial" w:hAnsi="Arial" w:hint="default"/>
        <w:sz w:val="20"/>
      </w:rPr>
    </w:lvl>
    <w:lvl w:ilvl="1" w:tplc="173CC088">
      <w:start w:val="1"/>
      <w:numFmt w:val="lowerLetter"/>
      <w:lvlText w:val="%2."/>
      <w:lvlJc w:val="left"/>
      <w:pPr>
        <w:ind w:left="1080" w:hanging="360"/>
      </w:pPr>
    </w:lvl>
    <w:lvl w:ilvl="2" w:tplc="96BA0BEA" w:tentative="1">
      <w:start w:val="1"/>
      <w:numFmt w:val="lowerRoman"/>
      <w:lvlText w:val="%3."/>
      <w:lvlJc w:val="right"/>
      <w:pPr>
        <w:ind w:left="1800" w:hanging="180"/>
      </w:pPr>
    </w:lvl>
    <w:lvl w:ilvl="3" w:tplc="8B72FB28" w:tentative="1">
      <w:start w:val="1"/>
      <w:numFmt w:val="decimal"/>
      <w:lvlText w:val="%4."/>
      <w:lvlJc w:val="left"/>
      <w:pPr>
        <w:ind w:left="2520" w:hanging="360"/>
      </w:pPr>
    </w:lvl>
    <w:lvl w:ilvl="4" w:tplc="EE7E061C" w:tentative="1">
      <w:start w:val="1"/>
      <w:numFmt w:val="lowerLetter"/>
      <w:lvlText w:val="%5."/>
      <w:lvlJc w:val="left"/>
      <w:pPr>
        <w:ind w:left="3240" w:hanging="360"/>
      </w:pPr>
    </w:lvl>
    <w:lvl w:ilvl="5" w:tplc="AEA438FC" w:tentative="1">
      <w:start w:val="1"/>
      <w:numFmt w:val="lowerRoman"/>
      <w:lvlText w:val="%6."/>
      <w:lvlJc w:val="right"/>
      <w:pPr>
        <w:ind w:left="3960" w:hanging="180"/>
      </w:pPr>
    </w:lvl>
    <w:lvl w:ilvl="6" w:tplc="AD44A6AE" w:tentative="1">
      <w:start w:val="1"/>
      <w:numFmt w:val="decimal"/>
      <w:lvlText w:val="%7."/>
      <w:lvlJc w:val="left"/>
      <w:pPr>
        <w:ind w:left="4680" w:hanging="360"/>
      </w:pPr>
    </w:lvl>
    <w:lvl w:ilvl="7" w:tplc="F190C4D4" w:tentative="1">
      <w:start w:val="1"/>
      <w:numFmt w:val="lowerLetter"/>
      <w:lvlText w:val="%8."/>
      <w:lvlJc w:val="left"/>
      <w:pPr>
        <w:ind w:left="5400" w:hanging="360"/>
      </w:pPr>
    </w:lvl>
    <w:lvl w:ilvl="8" w:tplc="6EAE9524" w:tentative="1">
      <w:start w:val="1"/>
      <w:numFmt w:val="lowerRoman"/>
      <w:lvlText w:val="%9."/>
      <w:lvlJc w:val="right"/>
      <w:pPr>
        <w:ind w:left="6120" w:hanging="180"/>
      </w:pPr>
    </w:lvl>
  </w:abstractNum>
  <w:num w:numId="1">
    <w:abstractNumId w:val="7"/>
  </w:num>
  <w:num w:numId="2">
    <w:abstractNumId w:val="4"/>
  </w:num>
  <w:num w:numId="3">
    <w:abstractNumId w:val="5"/>
  </w:num>
  <w:num w:numId="4">
    <w:abstractNumId w:val="0"/>
  </w:num>
  <w:num w:numId="5">
    <w:abstractNumId w:val="2"/>
  </w:num>
  <w:num w:numId="6">
    <w:abstractNumId w:val="3"/>
  </w:num>
  <w:num w:numId="7">
    <w:abstractNumId w:val="8"/>
  </w:num>
  <w:num w:numId="8">
    <w:abstractNumId w:val="6"/>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38"/>
    <w:rsid w:val="000063FF"/>
    <w:rsid w:val="000206AE"/>
    <w:rsid w:val="00023A88"/>
    <w:rsid w:val="000636E1"/>
    <w:rsid w:val="0008352D"/>
    <w:rsid w:val="00093380"/>
    <w:rsid w:val="000A07CE"/>
    <w:rsid w:val="000A2C92"/>
    <w:rsid w:val="000A7238"/>
    <w:rsid w:val="000B0B21"/>
    <w:rsid w:val="000D08A9"/>
    <w:rsid w:val="000F3D38"/>
    <w:rsid w:val="00107488"/>
    <w:rsid w:val="00110CBD"/>
    <w:rsid w:val="001357B2"/>
    <w:rsid w:val="00151388"/>
    <w:rsid w:val="00151872"/>
    <w:rsid w:val="00152E24"/>
    <w:rsid w:val="00160E5F"/>
    <w:rsid w:val="001A3BA5"/>
    <w:rsid w:val="001D519B"/>
    <w:rsid w:val="001F3B21"/>
    <w:rsid w:val="001F7BC0"/>
    <w:rsid w:val="00202A77"/>
    <w:rsid w:val="00232E47"/>
    <w:rsid w:val="00261D99"/>
    <w:rsid w:val="00262960"/>
    <w:rsid w:val="00271CE5"/>
    <w:rsid w:val="00282020"/>
    <w:rsid w:val="00285890"/>
    <w:rsid w:val="002934F1"/>
    <w:rsid w:val="00296D93"/>
    <w:rsid w:val="002C390D"/>
    <w:rsid w:val="002C7EEB"/>
    <w:rsid w:val="00304726"/>
    <w:rsid w:val="00315D82"/>
    <w:rsid w:val="00350FE0"/>
    <w:rsid w:val="00352109"/>
    <w:rsid w:val="003636BF"/>
    <w:rsid w:val="00370AA7"/>
    <w:rsid w:val="00371034"/>
    <w:rsid w:val="0037479F"/>
    <w:rsid w:val="00377950"/>
    <w:rsid w:val="003828AD"/>
    <w:rsid w:val="003845B4"/>
    <w:rsid w:val="00387B1A"/>
    <w:rsid w:val="003B5CF4"/>
    <w:rsid w:val="003C3B1D"/>
    <w:rsid w:val="003D0306"/>
    <w:rsid w:val="003D64AE"/>
    <w:rsid w:val="003E1C74"/>
    <w:rsid w:val="003E7E9E"/>
    <w:rsid w:val="003F4966"/>
    <w:rsid w:val="00456998"/>
    <w:rsid w:val="00476FE6"/>
    <w:rsid w:val="00484A06"/>
    <w:rsid w:val="004A4233"/>
    <w:rsid w:val="004A6A59"/>
    <w:rsid w:val="004B160E"/>
    <w:rsid w:val="004C0AF7"/>
    <w:rsid w:val="004D7869"/>
    <w:rsid w:val="00500FB4"/>
    <w:rsid w:val="005149DF"/>
    <w:rsid w:val="00525C18"/>
    <w:rsid w:val="00526246"/>
    <w:rsid w:val="00546030"/>
    <w:rsid w:val="005548C5"/>
    <w:rsid w:val="00567106"/>
    <w:rsid w:val="005709F2"/>
    <w:rsid w:val="005916E5"/>
    <w:rsid w:val="005B0438"/>
    <w:rsid w:val="005E1D3C"/>
    <w:rsid w:val="006247F0"/>
    <w:rsid w:val="006268BE"/>
    <w:rsid w:val="00632253"/>
    <w:rsid w:val="00642714"/>
    <w:rsid w:val="00643C4E"/>
    <w:rsid w:val="006455CE"/>
    <w:rsid w:val="0067510F"/>
    <w:rsid w:val="006A1D26"/>
    <w:rsid w:val="006D42D9"/>
    <w:rsid w:val="006D444B"/>
    <w:rsid w:val="006F142E"/>
    <w:rsid w:val="00722075"/>
    <w:rsid w:val="00726463"/>
    <w:rsid w:val="0072679D"/>
    <w:rsid w:val="00733017"/>
    <w:rsid w:val="00751D38"/>
    <w:rsid w:val="00770DCC"/>
    <w:rsid w:val="00775FED"/>
    <w:rsid w:val="00783310"/>
    <w:rsid w:val="00794E63"/>
    <w:rsid w:val="007A4A6D"/>
    <w:rsid w:val="007D1BCF"/>
    <w:rsid w:val="007D75CF"/>
    <w:rsid w:val="007E6DC5"/>
    <w:rsid w:val="008649DC"/>
    <w:rsid w:val="0088043C"/>
    <w:rsid w:val="008906C9"/>
    <w:rsid w:val="008963D6"/>
    <w:rsid w:val="008A5918"/>
    <w:rsid w:val="008B2E72"/>
    <w:rsid w:val="008C00F2"/>
    <w:rsid w:val="008C5738"/>
    <w:rsid w:val="008D04F0"/>
    <w:rsid w:val="008F3500"/>
    <w:rsid w:val="009022B3"/>
    <w:rsid w:val="00911DA2"/>
    <w:rsid w:val="00924E3C"/>
    <w:rsid w:val="009612BB"/>
    <w:rsid w:val="00966A51"/>
    <w:rsid w:val="009B0295"/>
    <w:rsid w:val="009C5340"/>
    <w:rsid w:val="009E42F2"/>
    <w:rsid w:val="00A05DC7"/>
    <w:rsid w:val="00A125C5"/>
    <w:rsid w:val="00A12D5C"/>
    <w:rsid w:val="00A216AF"/>
    <w:rsid w:val="00A3267F"/>
    <w:rsid w:val="00A36906"/>
    <w:rsid w:val="00A45EAF"/>
    <w:rsid w:val="00A5039D"/>
    <w:rsid w:val="00A65EE7"/>
    <w:rsid w:val="00A70133"/>
    <w:rsid w:val="00A72510"/>
    <w:rsid w:val="00AA47FE"/>
    <w:rsid w:val="00AB0DAA"/>
    <w:rsid w:val="00AC5C16"/>
    <w:rsid w:val="00AD5A5B"/>
    <w:rsid w:val="00AE1792"/>
    <w:rsid w:val="00B011EA"/>
    <w:rsid w:val="00B17141"/>
    <w:rsid w:val="00B31575"/>
    <w:rsid w:val="00B677B6"/>
    <w:rsid w:val="00B8547D"/>
    <w:rsid w:val="00B87337"/>
    <w:rsid w:val="00BA5677"/>
    <w:rsid w:val="00BC2517"/>
    <w:rsid w:val="00BC61EF"/>
    <w:rsid w:val="00BE423F"/>
    <w:rsid w:val="00C250D5"/>
    <w:rsid w:val="00C47F8D"/>
    <w:rsid w:val="00C52DAE"/>
    <w:rsid w:val="00C57D30"/>
    <w:rsid w:val="00C57EED"/>
    <w:rsid w:val="00C81391"/>
    <w:rsid w:val="00C92898"/>
    <w:rsid w:val="00C97222"/>
    <w:rsid w:val="00CB64CF"/>
    <w:rsid w:val="00CC5B3A"/>
    <w:rsid w:val="00CE7514"/>
    <w:rsid w:val="00D248DE"/>
    <w:rsid w:val="00D25427"/>
    <w:rsid w:val="00D31B74"/>
    <w:rsid w:val="00D3564D"/>
    <w:rsid w:val="00D516AA"/>
    <w:rsid w:val="00D8542D"/>
    <w:rsid w:val="00DB11E1"/>
    <w:rsid w:val="00DC62F6"/>
    <w:rsid w:val="00DC6A71"/>
    <w:rsid w:val="00DD6CC3"/>
    <w:rsid w:val="00DE5B46"/>
    <w:rsid w:val="00E0357D"/>
    <w:rsid w:val="00E24EC2"/>
    <w:rsid w:val="00E353A1"/>
    <w:rsid w:val="00E51C0F"/>
    <w:rsid w:val="00E70C7E"/>
    <w:rsid w:val="00E76F69"/>
    <w:rsid w:val="00E8201C"/>
    <w:rsid w:val="00ED00D1"/>
    <w:rsid w:val="00ED7E82"/>
    <w:rsid w:val="00EF3280"/>
    <w:rsid w:val="00F0025B"/>
    <w:rsid w:val="00F02E53"/>
    <w:rsid w:val="00F067E0"/>
    <w:rsid w:val="00F240BB"/>
    <w:rsid w:val="00F42CE8"/>
    <w:rsid w:val="00F46724"/>
    <w:rsid w:val="00F47F58"/>
    <w:rsid w:val="00F57FED"/>
    <w:rsid w:val="00F907E8"/>
    <w:rsid w:val="00FA6320"/>
    <w:rsid w:val="00FB73DB"/>
    <w:rsid w:val="00FD746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A88BA9B"/>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customStyle="1" w:styleId="Header0">
    <w:name w:val="Header_0"/>
    <w:basedOn w:val="Normal0"/>
    <w:rsid w:val="00AD2B87"/>
    <w:pPr>
      <w:tabs>
        <w:tab w:val="center" w:pos="4320"/>
        <w:tab w:val="right" w:pos="8640"/>
      </w:tabs>
    </w:pPr>
  </w:style>
  <w:style w:type="paragraph" w:customStyle="1" w:styleId="Normal0">
    <w:name w:val="Normal_0"/>
    <w:qFormat/>
    <w:rsid w:val="00DC6A71"/>
    <w:pPr>
      <w:spacing w:line="260" w:lineRule="atLeast"/>
    </w:pPr>
    <w:rPr>
      <w:rFonts w:ascii="Arial" w:hAnsi="Arial"/>
      <w:szCs w:val="24"/>
      <w:lang w:val="en-US" w:eastAsia="en-US"/>
    </w:rPr>
  </w:style>
  <w:style w:type="paragraph" w:customStyle="1" w:styleId="Footer0">
    <w:name w:val="Footer_0"/>
    <w:basedOn w:val="Normal1"/>
    <w:semiHidden/>
    <w:rsid w:val="00AD2B87"/>
    <w:pPr>
      <w:tabs>
        <w:tab w:val="center" w:pos="4320"/>
        <w:tab w:val="right" w:pos="8640"/>
      </w:tabs>
    </w:pPr>
  </w:style>
  <w:style w:type="paragraph" w:customStyle="1" w:styleId="Normal1">
    <w:name w:val="Normal_1"/>
    <w:qFormat/>
    <w:rsid w:val="00DC6A71"/>
    <w:pPr>
      <w:spacing w:line="260" w:lineRule="atLeast"/>
    </w:pPr>
    <w:rPr>
      <w:rFonts w:ascii="Arial" w:hAnsi="Arial"/>
      <w:szCs w:val="24"/>
      <w:lang w:val="en-US" w:eastAsia="en-US"/>
    </w:rPr>
  </w:style>
  <w:style w:type="paragraph" w:customStyle="1" w:styleId="Normal2">
    <w:name w:val="Normal_2"/>
    <w:qFormat/>
    <w:rsid w:val="00DC6A71"/>
    <w:pPr>
      <w:spacing w:line="260" w:lineRule="atLeast"/>
    </w:pPr>
    <w:rPr>
      <w:rFonts w:ascii="Arial" w:hAnsi="Arial"/>
      <w:szCs w:val="24"/>
      <w:lang w:val="en-US" w:eastAsia="en-US"/>
    </w:rPr>
  </w:style>
  <w:style w:type="paragraph" w:customStyle="1" w:styleId="Normal3">
    <w:name w:val="Normal_3"/>
    <w:qFormat/>
    <w:rsid w:val="00DC6A71"/>
    <w:pPr>
      <w:spacing w:line="260" w:lineRule="atLeast"/>
    </w:pPr>
    <w:rPr>
      <w:rFonts w:ascii="Arial" w:hAnsi="Arial"/>
      <w:szCs w:val="24"/>
      <w:lang w:val="en-US" w:eastAsia="en-US"/>
    </w:rPr>
  </w:style>
  <w:style w:type="paragraph" w:customStyle="1" w:styleId="Header1">
    <w:name w:val="Header_1"/>
    <w:basedOn w:val="Normal4"/>
    <w:rsid w:val="00AD2B87"/>
    <w:pPr>
      <w:tabs>
        <w:tab w:val="center" w:pos="4320"/>
        <w:tab w:val="right" w:pos="8640"/>
      </w:tabs>
    </w:pPr>
  </w:style>
  <w:style w:type="paragraph" w:customStyle="1" w:styleId="Normal4">
    <w:name w:val="Normal_4"/>
    <w:qFormat/>
    <w:rsid w:val="00DC6A71"/>
    <w:pPr>
      <w:spacing w:line="260" w:lineRule="atLeast"/>
    </w:pPr>
    <w:rPr>
      <w:rFonts w:ascii="Arial" w:hAnsi="Arial"/>
      <w:szCs w:val="24"/>
      <w:lang w:val="en-US" w:eastAsia="en-US"/>
    </w:rPr>
  </w:style>
  <w:style w:type="paragraph" w:customStyle="1" w:styleId="Header2">
    <w:name w:val="Header_2"/>
    <w:basedOn w:val="Normal5"/>
    <w:rsid w:val="00AD2B87"/>
    <w:pPr>
      <w:tabs>
        <w:tab w:val="center" w:pos="4320"/>
        <w:tab w:val="right" w:pos="8640"/>
      </w:tabs>
    </w:pPr>
  </w:style>
  <w:style w:type="paragraph" w:customStyle="1" w:styleId="Normal5">
    <w:name w:val="Normal_5"/>
    <w:qFormat/>
    <w:rsid w:val="00DC6A71"/>
    <w:pPr>
      <w:spacing w:line="260" w:lineRule="atLeast"/>
    </w:pPr>
    <w:rPr>
      <w:rFonts w:ascii="Arial" w:hAnsi="Arial"/>
      <w:szCs w:val="24"/>
      <w:lang w:val="en-US" w:eastAsia="en-US"/>
    </w:rPr>
  </w:style>
  <w:style w:type="paragraph" w:customStyle="1" w:styleId="Header3">
    <w:name w:val="Header_3"/>
    <w:basedOn w:val="Normal6"/>
    <w:rsid w:val="00AD2B87"/>
    <w:pPr>
      <w:tabs>
        <w:tab w:val="center" w:pos="4320"/>
        <w:tab w:val="right" w:pos="8640"/>
      </w:tabs>
    </w:pPr>
  </w:style>
  <w:style w:type="paragraph" w:customStyle="1" w:styleId="Normal6">
    <w:name w:val="Normal_6"/>
    <w:qFormat/>
    <w:rsid w:val="00DC6A71"/>
    <w:pPr>
      <w:spacing w:line="260" w:lineRule="atLeast"/>
    </w:pPr>
    <w:rPr>
      <w:rFonts w:ascii="Arial" w:hAnsi="Arial"/>
      <w:szCs w:val="24"/>
      <w:lang w:val="en-US" w:eastAsia="en-US"/>
    </w:rPr>
  </w:style>
  <w:style w:type="paragraph" w:customStyle="1" w:styleId="Header4">
    <w:name w:val="Header_4"/>
    <w:basedOn w:val="Normal7"/>
    <w:rsid w:val="00AD2B87"/>
    <w:pPr>
      <w:tabs>
        <w:tab w:val="center" w:pos="4320"/>
        <w:tab w:val="right" w:pos="8640"/>
      </w:tabs>
    </w:pPr>
  </w:style>
  <w:style w:type="paragraph" w:customStyle="1" w:styleId="Normal7">
    <w:name w:val="Normal_7"/>
    <w:qFormat/>
    <w:rsid w:val="00DC6A71"/>
    <w:pPr>
      <w:spacing w:line="260" w:lineRule="atLeast"/>
    </w:pPr>
    <w:rPr>
      <w:rFonts w:ascii="Arial" w:hAnsi="Arial"/>
      <w:szCs w:val="24"/>
      <w:lang w:val="en-US" w:eastAsia="en-US"/>
    </w:rPr>
  </w:style>
  <w:style w:type="paragraph" w:customStyle="1" w:styleId="Header5">
    <w:name w:val="Header_5"/>
    <w:basedOn w:val="Normal8"/>
    <w:rsid w:val="00AD2B87"/>
    <w:pPr>
      <w:tabs>
        <w:tab w:val="center" w:pos="4320"/>
        <w:tab w:val="right" w:pos="8640"/>
      </w:tabs>
    </w:pPr>
  </w:style>
  <w:style w:type="paragraph" w:customStyle="1" w:styleId="Normal8">
    <w:name w:val="Normal_8"/>
    <w:qFormat/>
    <w:rsid w:val="00DC6A71"/>
    <w:pPr>
      <w:spacing w:line="260" w:lineRule="atLeast"/>
    </w:pPr>
    <w:rPr>
      <w:rFonts w:ascii="Arial" w:hAnsi="Arial"/>
      <w:szCs w:val="24"/>
      <w:lang w:val="en-US" w:eastAsia="en-US"/>
    </w:rPr>
  </w:style>
  <w:style w:type="paragraph" w:customStyle="1" w:styleId="Header6">
    <w:name w:val="Header_6"/>
    <w:basedOn w:val="Normal9"/>
    <w:rsid w:val="00AD2B87"/>
    <w:pPr>
      <w:tabs>
        <w:tab w:val="center" w:pos="4320"/>
        <w:tab w:val="right" w:pos="8640"/>
      </w:tabs>
    </w:pPr>
  </w:style>
  <w:style w:type="paragraph" w:customStyle="1" w:styleId="Normal9">
    <w:name w:val="Normal_9"/>
    <w:qFormat/>
    <w:rsid w:val="00DC6A71"/>
    <w:pPr>
      <w:spacing w:line="260" w:lineRule="atLeast"/>
    </w:pPr>
    <w:rPr>
      <w:rFonts w:ascii="Arial" w:hAnsi="Arial"/>
      <w:szCs w:val="24"/>
      <w:lang w:val="en-US" w:eastAsia="en-US"/>
    </w:rPr>
  </w:style>
  <w:style w:type="paragraph" w:customStyle="1" w:styleId="Header7">
    <w:name w:val="Header_7"/>
    <w:basedOn w:val="Normal10"/>
    <w:rsid w:val="00AD2B87"/>
    <w:pPr>
      <w:tabs>
        <w:tab w:val="center" w:pos="4320"/>
        <w:tab w:val="right" w:pos="8640"/>
      </w:tabs>
    </w:pPr>
  </w:style>
  <w:style w:type="paragraph" w:customStyle="1" w:styleId="Normal10">
    <w:name w:val="Normal_10"/>
    <w:qFormat/>
    <w:rsid w:val="00DC6A71"/>
    <w:pPr>
      <w:spacing w:line="260" w:lineRule="atLeast"/>
    </w:pPr>
    <w:rPr>
      <w:rFonts w:ascii="Arial" w:hAnsi="Arial"/>
      <w:szCs w:val="24"/>
      <w:lang w:val="en-US" w:eastAsia="en-US"/>
    </w:rPr>
  </w:style>
  <w:style w:type="paragraph" w:customStyle="1" w:styleId="Header8">
    <w:name w:val="Header_8"/>
    <w:basedOn w:val="Normal11"/>
    <w:rsid w:val="00AD2B87"/>
    <w:pPr>
      <w:tabs>
        <w:tab w:val="center" w:pos="4320"/>
        <w:tab w:val="right" w:pos="8640"/>
      </w:tabs>
    </w:pPr>
  </w:style>
  <w:style w:type="paragraph" w:customStyle="1" w:styleId="Normal11">
    <w:name w:val="Normal_11"/>
    <w:qFormat/>
    <w:rsid w:val="00DC6A71"/>
    <w:pPr>
      <w:spacing w:line="260" w:lineRule="atLeast"/>
    </w:pPr>
    <w:rPr>
      <w:rFonts w:ascii="Arial" w:hAnsi="Arial"/>
      <w:szCs w:val="24"/>
      <w:lang w:val="en-US" w:eastAsia="en-US"/>
    </w:rPr>
  </w:style>
  <w:style w:type="paragraph" w:customStyle="1" w:styleId="Footer1">
    <w:name w:val="Footer_1"/>
    <w:basedOn w:val="Normal12"/>
    <w:semiHidden/>
    <w:rsid w:val="00AD2B87"/>
    <w:pPr>
      <w:tabs>
        <w:tab w:val="center" w:pos="4320"/>
        <w:tab w:val="right" w:pos="8640"/>
      </w:tabs>
    </w:pPr>
  </w:style>
  <w:style w:type="paragraph" w:customStyle="1" w:styleId="Normal12">
    <w:name w:val="Normal_12"/>
    <w:qFormat/>
    <w:rsid w:val="00DC6A71"/>
    <w:pPr>
      <w:spacing w:line="260" w:lineRule="atLeast"/>
    </w:pPr>
    <w:rPr>
      <w:rFonts w:ascii="Arial" w:hAnsi="Arial"/>
      <w:szCs w:val="24"/>
      <w:lang w:val="en-US" w:eastAsia="en-US"/>
    </w:rPr>
  </w:style>
  <w:style w:type="paragraph" w:styleId="Odstavekseznama">
    <w:name w:val="List Paragraph"/>
    <w:basedOn w:val="Navaden"/>
    <w:uiPriority w:val="34"/>
    <w:qFormat/>
    <w:rsid w:val="00B87337"/>
    <w:pPr>
      <w:spacing w:before="100" w:beforeAutospacing="1" w:after="100" w:afterAutospacing="1"/>
    </w:pPr>
    <w:rPr>
      <w:rFonts w:ascii="Times New Roman" w:eastAsiaTheme="minorHAnsi" w:hAnsi="Times New Roman"/>
      <w:sz w:val="24"/>
      <w:lang w:val="sl-SI" w:eastAsia="sl-SI"/>
    </w:rPr>
  </w:style>
  <w:style w:type="character" w:styleId="SledenaHiperpovezava">
    <w:name w:val="FollowedHyperlink"/>
    <w:basedOn w:val="Privzetapisavaodstavka"/>
    <w:semiHidden/>
    <w:unhideWhenUsed/>
    <w:rsid w:val="00B87337"/>
    <w:rPr>
      <w:color w:val="800080" w:themeColor="followedHyperlink"/>
      <w:u w:val="single"/>
    </w:rPr>
  </w:style>
  <w:style w:type="paragraph" w:customStyle="1" w:styleId="Default">
    <w:name w:val="Default"/>
    <w:rsid w:val="002C390D"/>
    <w:pPr>
      <w:autoSpaceDE w:val="0"/>
      <w:autoSpaceDN w:val="0"/>
      <w:adjustRightInd w:val="0"/>
    </w:pPr>
    <w:rPr>
      <w:rFonts w:ascii="Arial" w:hAnsi="Arial" w:cs="Arial"/>
      <w:color w:val="000000"/>
      <w:sz w:val="24"/>
      <w:szCs w:val="24"/>
    </w:rPr>
  </w:style>
  <w:style w:type="table" w:styleId="Tabelamrea">
    <w:name w:val="Table Grid"/>
    <w:basedOn w:val="Navadnatabela"/>
    <w:uiPriority w:val="39"/>
    <w:rsid w:val="00770D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461412">
      <w:bodyDiv w:val="1"/>
      <w:marLeft w:val="0"/>
      <w:marRight w:val="0"/>
      <w:marTop w:val="0"/>
      <w:marBottom w:val="0"/>
      <w:divBdr>
        <w:top w:val="none" w:sz="0" w:space="0" w:color="auto"/>
        <w:left w:val="none" w:sz="0" w:space="0" w:color="auto"/>
        <w:bottom w:val="none" w:sz="0" w:space="0" w:color="auto"/>
        <w:right w:val="none" w:sz="0" w:space="0" w:color="auto"/>
      </w:divBdr>
    </w:div>
    <w:div w:id="1895853529">
      <w:bodyDiv w:val="1"/>
      <w:marLeft w:val="0"/>
      <w:marRight w:val="0"/>
      <w:marTop w:val="0"/>
      <w:marBottom w:val="0"/>
      <w:divBdr>
        <w:top w:val="none" w:sz="0" w:space="0" w:color="auto"/>
        <w:left w:val="none" w:sz="0" w:space="0" w:color="auto"/>
        <w:bottom w:val="none" w:sz="0" w:space="0" w:color="auto"/>
        <w:right w:val="none" w:sz="0" w:space="0" w:color="auto"/>
      </w:divBdr>
    </w:div>
    <w:div w:id="206637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4701" TargetMode="External"/><Relationship Id="rId13" Type="http://schemas.openxmlformats.org/officeDocument/2006/relationships/hyperlink" Target="http://www.fu.gov.si/fileadmin/Internet/Davki_in_druge_dajatve/Podrocja/Davek_na_dodano_vrednost/Novice/2018/Prehranska_dopolnila_in_stopnja_DDV.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gov.si/carina/podrocja/carinski_dolg_in_zavarovan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search.html?DTN=0952&amp;DTA=2013&amp;qid=1424785273885&amp;DB_TYPE_OF_ACT=regulation&amp;DTS_DOM=EU_LAW&amp;typeOfActStatus=REGULATION&amp;type=advanced&amp;lang=sl&amp;SUBDOM_INIT=LEGISLATION&amp;DTS_SUBDOM=LEGISLATION" TargetMode="External"/><Relationship Id="rId5" Type="http://schemas.openxmlformats.org/officeDocument/2006/relationships/webSettings" Target="webSettings.xml"/><Relationship Id="rId15" Type="http://schemas.openxmlformats.org/officeDocument/2006/relationships/hyperlink" Target="http://www.pisrs.si/Pis.web/pregledPredpisa?id=PRAV7542" TargetMode="External"/><Relationship Id="rId10" Type="http://schemas.openxmlformats.org/officeDocument/2006/relationships/hyperlink" Target="http://eur-lex.europa.eu/legal-content/SL/TXT/?qid=1484123059953&amp;uri=CELEX:02006L0112-2016060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isrs.si/Pis.web/pregledPredpisa?id=PRAV7542" TargetMode="External"/><Relationship Id="rId14" Type="http://schemas.openxmlformats.org/officeDocument/2006/relationships/hyperlink" Target="http://www.pisrs.si/Pis.web/pregledPredpisa?id=ZAKO47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52085-20A5-4DCF-966D-07891B77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2</TotalTime>
  <Pages>4</Pages>
  <Words>1654</Words>
  <Characters>9678</Characters>
  <Application>Microsoft Office Word</Application>
  <DocSecurity>4</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11310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Tomaž Lavrič</dc:creator>
  <cp:lastModifiedBy>Andreja Levstik</cp:lastModifiedBy>
  <cp:revision>2</cp:revision>
  <cp:lastPrinted>2018-06-27T12:36:00Z</cp:lastPrinted>
  <dcterms:created xsi:type="dcterms:W3CDTF">2018-07-02T06:06:00Z</dcterms:created>
  <dcterms:modified xsi:type="dcterms:W3CDTF">2018-07-02T06:06:00Z</dcterms:modified>
</cp:coreProperties>
</file>