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19" w:rsidRDefault="00A40419" w:rsidP="00970B45">
      <w:pPr>
        <w:jc w:val="center"/>
        <w:rPr>
          <w:rFonts w:eastAsiaTheme="majorEastAsia" w:cs="Arial"/>
          <w:noProof/>
          <w:szCs w:val="20"/>
          <w:lang w:val="sl-SI"/>
        </w:rPr>
      </w:pPr>
      <w:bookmarkStart w:id="0" w:name="SubjektDokumentaNazivBrezPredpon"/>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b/>
          <w:noProof/>
          <w:sz w:val="28"/>
          <w:szCs w:val="28"/>
          <w:lang w:val="sl-SI"/>
        </w:rPr>
      </w:pPr>
    </w:p>
    <w:p w:rsidR="00A40419" w:rsidRDefault="00A40419" w:rsidP="00970B45">
      <w:pPr>
        <w:jc w:val="center"/>
        <w:rPr>
          <w:rFonts w:eastAsiaTheme="majorEastAsia" w:cs="Arial"/>
          <w:b/>
          <w:noProof/>
          <w:sz w:val="28"/>
          <w:szCs w:val="28"/>
          <w:lang w:val="sl-SI"/>
        </w:rPr>
      </w:pPr>
    </w:p>
    <w:p w:rsidR="00A40419" w:rsidRDefault="00A40419" w:rsidP="00970B45">
      <w:pPr>
        <w:jc w:val="center"/>
        <w:rPr>
          <w:rFonts w:eastAsiaTheme="majorEastAsia" w:cs="Arial"/>
          <w:b/>
          <w:noProof/>
          <w:sz w:val="28"/>
          <w:szCs w:val="28"/>
          <w:lang w:val="sl-SI"/>
        </w:rPr>
      </w:pPr>
    </w:p>
    <w:p w:rsidR="00A40419" w:rsidRDefault="00A40419" w:rsidP="00970B45">
      <w:pPr>
        <w:jc w:val="center"/>
        <w:rPr>
          <w:rFonts w:eastAsiaTheme="majorEastAsia" w:cs="Arial"/>
          <w:b/>
          <w:noProof/>
          <w:sz w:val="28"/>
          <w:szCs w:val="28"/>
          <w:lang w:val="sl-SI"/>
        </w:rPr>
      </w:pPr>
    </w:p>
    <w:p w:rsidR="00A40419" w:rsidRDefault="00A40419" w:rsidP="00970B45">
      <w:pPr>
        <w:jc w:val="center"/>
        <w:rPr>
          <w:rFonts w:eastAsiaTheme="majorEastAsia" w:cs="Arial"/>
          <w:b/>
          <w:noProof/>
          <w:sz w:val="28"/>
          <w:szCs w:val="28"/>
          <w:lang w:val="sl-SI"/>
        </w:rPr>
      </w:pPr>
    </w:p>
    <w:p w:rsidR="00970B45" w:rsidRPr="00A40419" w:rsidRDefault="00A40419" w:rsidP="00970B45">
      <w:pPr>
        <w:jc w:val="center"/>
        <w:rPr>
          <w:rFonts w:eastAsiaTheme="majorEastAsia" w:cs="Arial"/>
          <w:b/>
          <w:noProof/>
          <w:sz w:val="28"/>
          <w:szCs w:val="28"/>
          <w:lang w:val="sl-SI"/>
        </w:rPr>
      </w:pPr>
      <w:r>
        <w:rPr>
          <w:rFonts w:eastAsiaTheme="majorEastAsia" w:cs="Arial"/>
          <w:b/>
          <w:noProof/>
          <w:sz w:val="28"/>
          <w:szCs w:val="28"/>
          <w:lang w:val="sl-SI"/>
        </w:rPr>
        <w:t xml:space="preserve">ZAKON O DAVČNEM POSTOPKU  </w:t>
      </w:r>
    </w:p>
    <w:p w:rsidR="00970B45" w:rsidRPr="00A40419" w:rsidRDefault="00970B45" w:rsidP="00970B45">
      <w:pPr>
        <w:jc w:val="center"/>
        <w:rPr>
          <w:rFonts w:eastAsiaTheme="majorEastAsia" w:cs="Arial"/>
          <w:b/>
          <w:noProof/>
          <w:sz w:val="28"/>
          <w:szCs w:val="28"/>
          <w:lang w:val="sl-SI"/>
        </w:rPr>
      </w:pPr>
      <w:r w:rsidRPr="00A40419">
        <w:rPr>
          <w:rFonts w:eastAsiaTheme="majorEastAsia" w:cs="Arial"/>
          <w:b/>
          <w:noProof/>
          <w:sz w:val="28"/>
          <w:szCs w:val="28"/>
          <w:lang w:val="sl-SI"/>
        </w:rPr>
        <w:t>5. podpoglavje Zakona o davčnem postopku-</w:t>
      </w:r>
    </w:p>
    <w:p w:rsidR="00970B45" w:rsidRPr="00A40419" w:rsidRDefault="00970B45" w:rsidP="00970B45">
      <w:pPr>
        <w:jc w:val="center"/>
        <w:rPr>
          <w:rFonts w:eastAsiaTheme="majorEastAsia" w:cs="Arial"/>
          <w:b/>
          <w:noProof/>
          <w:sz w:val="28"/>
          <w:szCs w:val="28"/>
          <w:lang w:val="sl-SI"/>
        </w:rPr>
      </w:pPr>
      <w:r w:rsidRPr="00A40419">
        <w:rPr>
          <w:rFonts w:eastAsiaTheme="majorEastAsia" w:cs="Arial"/>
          <w:b/>
          <w:noProof/>
          <w:sz w:val="28"/>
          <w:szCs w:val="28"/>
          <w:lang w:val="sl-SI"/>
        </w:rPr>
        <w:t>Členi 125., 126. in 126.a</w:t>
      </w:r>
      <w:r w:rsidR="00A40419">
        <w:rPr>
          <w:rFonts w:eastAsiaTheme="majorEastAsia" w:cs="Arial"/>
          <w:b/>
          <w:noProof/>
          <w:sz w:val="28"/>
          <w:szCs w:val="28"/>
          <w:lang w:val="sl-SI"/>
        </w:rPr>
        <w:t xml:space="preserve"> – zastaranje </w:t>
      </w: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Pr="00A40419" w:rsidRDefault="00A40419" w:rsidP="00970B45">
      <w:pPr>
        <w:jc w:val="center"/>
        <w:rPr>
          <w:rFonts w:eastAsiaTheme="majorEastAsia" w:cs="Arial"/>
          <w:b/>
          <w:noProof/>
          <w:sz w:val="24"/>
          <w:lang w:val="sl-SI"/>
        </w:rPr>
      </w:pPr>
      <w:r w:rsidRPr="00A40419">
        <w:rPr>
          <w:rFonts w:eastAsiaTheme="majorEastAsia" w:cs="Arial"/>
          <w:b/>
          <w:noProof/>
          <w:sz w:val="24"/>
          <w:lang w:val="sl-SI"/>
        </w:rPr>
        <w:t xml:space="preserve">Podrobnejši opis </w:t>
      </w: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Default="00A40419" w:rsidP="00970B45">
      <w:pPr>
        <w:jc w:val="center"/>
        <w:rPr>
          <w:rFonts w:eastAsiaTheme="majorEastAsia" w:cs="Arial"/>
          <w:noProof/>
          <w:szCs w:val="20"/>
          <w:lang w:val="sl-SI"/>
        </w:rPr>
      </w:pPr>
    </w:p>
    <w:p w:rsidR="00A40419" w:rsidRPr="00A40419" w:rsidRDefault="00A40419" w:rsidP="00970B45">
      <w:pPr>
        <w:jc w:val="center"/>
        <w:rPr>
          <w:rFonts w:eastAsiaTheme="majorEastAsia" w:cs="Arial"/>
          <w:b/>
          <w:noProof/>
          <w:szCs w:val="20"/>
          <w:lang w:val="sl-SI"/>
        </w:rPr>
      </w:pPr>
      <w:r w:rsidRPr="00A40419">
        <w:rPr>
          <w:rFonts w:eastAsiaTheme="majorEastAsia" w:cs="Arial"/>
          <w:b/>
          <w:noProof/>
          <w:szCs w:val="20"/>
          <w:lang w:val="sl-SI"/>
        </w:rPr>
        <w:t xml:space="preserve">OKTOBER  2024 </w:t>
      </w:r>
    </w:p>
    <w:p w:rsidR="00A40419" w:rsidRDefault="00A40419" w:rsidP="00970B45">
      <w:pPr>
        <w:jc w:val="center"/>
        <w:rPr>
          <w:rFonts w:eastAsiaTheme="majorEastAsia" w:cs="Arial"/>
          <w:noProof/>
          <w:szCs w:val="20"/>
          <w:lang w:val="sl-SI"/>
        </w:rPr>
      </w:pPr>
    </w:p>
    <w:p w:rsidR="00A40419" w:rsidRPr="00970B45" w:rsidRDefault="00A40419" w:rsidP="00970B45">
      <w:pPr>
        <w:jc w:val="center"/>
        <w:rPr>
          <w:rFonts w:eastAsiaTheme="majorEastAsia" w:cs="Arial"/>
          <w:noProof/>
          <w:szCs w:val="20"/>
          <w:lang w:val="sl-SI"/>
        </w:rPr>
      </w:pPr>
    </w:p>
    <w:p w:rsidR="00970B45" w:rsidRPr="00970B45" w:rsidRDefault="00970B45" w:rsidP="00970B45">
      <w:pPr>
        <w:keepNext/>
        <w:keepLines/>
        <w:spacing w:before="240"/>
        <w:jc w:val="both"/>
        <w:outlineLvl w:val="0"/>
        <w:rPr>
          <w:rFonts w:eastAsiaTheme="majorEastAsia" w:cs="Arial"/>
          <w:noProof/>
          <w:szCs w:val="20"/>
          <w:lang w:val="sl-SI"/>
        </w:rPr>
      </w:pPr>
    </w:p>
    <w:sdt>
      <w:sdtPr>
        <w:rPr>
          <w:rFonts w:ascii="Arial" w:eastAsiaTheme="minorEastAsia" w:hAnsi="Arial" w:cs="Arial"/>
          <w:b w:val="0"/>
          <w:bCs w:val="0"/>
          <w:smallCaps w:val="0"/>
          <w:noProof/>
          <w:color w:val="auto"/>
          <w:sz w:val="20"/>
          <w:szCs w:val="20"/>
          <w:lang w:val="en-US"/>
        </w:rPr>
        <w:id w:val="-1413146147"/>
        <w:docPartObj>
          <w:docPartGallery w:val="Table of Contents"/>
          <w:docPartUnique/>
        </w:docPartObj>
      </w:sdtPr>
      <w:sdtEndPr>
        <w:rPr>
          <w:rFonts w:eastAsia="Times New Roman"/>
        </w:rPr>
      </w:sdtEndPr>
      <w:sdtContent>
        <w:p w:rsidR="00970B45" w:rsidRPr="00970B45" w:rsidRDefault="00970B45" w:rsidP="00970B45">
          <w:pPr>
            <w:pStyle w:val="NaslovTOC"/>
            <w:numPr>
              <w:ilvl w:val="0"/>
              <w:numId w:val="7"/>
            </w:numPr>
            <w:rPr>
              <w:rFonts w:ascii="Arial" w:hAnsi="Arial" w:cs="Arial"/>
              <w:noProof/>
              <w:sz w:val="20"/>
              <w:szCs w:val="20"/>
            </w:rPr>
          </w:pPr>
          <w:r w:rsidRPr="00970B45">
            <w:rPr>
              <w:rFonts w:ascii="Arial" w:hAnsi="Arial" w:cs="Arial"/>
              <w:noProof/>
              <w:sz w:val="20"/>
              <w:szCs w:val="20"/>
            </w:rPr>
            <w:t>Vsebina</w:t>
          </w:r>
        </w:p>
        <w:p w:rsidR="00970B45" w:rsidRPr="00970B45" w:rsidRDefault="00970B45" w:rsidP="00970B45">
          <w:pPr>
            <w:pStyle w:val="Kazalovsebine1"/>
            <w:tabs>
              <w:tab w:val="left" w:pos="440"/>
              <w:tab w:val="right" w:leader="dot" w:pos="9062"/>
            </w:tabs>
            <w:rPr>
              <w:noProof/>
              <w:lang w:eastAsia="sl-SI"/>
            </w:rPr>
          </w:pPr>
          <w:r w:rsidRPr="00970B45">
            <w:rPr>
              <w:rFonts w:ascii="Arial" w:hAnsi="Arial" w:cs="Arial"/>
              <w:noProof/>
              <w:sz w:val="20"/>
              <w:szCs w:val="20"/>
            </w:rPr>
            <w:fldChar w:fldCharType="begin"/>
          </w:r>
          <w:r w:rsidRPr="00970B45">
            <w:rPr>
              <w:rFonts w:ascii="Arial" w:hAnsi="Arial" w:cs="Arial"/>
              <w:noProof/>
              <w:sz w:val="20"/>
              <w:szCs w:val="20"/>
            </w:rPr>
            <w:instrText xml:space="preserve"> TOC \o "1-3" \h \z \u </w:instrText>
          </w:r>
          <w:r w:rsidRPr="00970B45">
            <w:rPr>
              <w:rFonts w:ascii="Arial" w:hAnsi="Arial" w:cs="Arial"/>
              <w:noProof/>
              <w:sz w:val="20"/>
              <w:szCs w:val="20"/>
            </w:rPr>
            <w:fldChar w:fldCharType="separate"/>
          </w:r>
          <w:hyperlink w:anchor="_Toc178228151" w:history="1">
            <w:r w:rsidRPr="00970B45">
              <w:rPr>
                <w:rStyle w:val="Hiperpovezava"/>
                <w:rFonts w:ascii="Arial" w:eastAsiaTheme="minorHAnsi" w:hAnsi="Arial" w:cs="Arial"/>
                <w:noProof/>
              </w:rPr>
              <w:t>2</w:t>
            </w:r>
            <w:r w:rsidRPr="00970B45">
              <w:rPr>
                <w:noProof/>
                <w:lang w:eastAsia="sl-SI"/>
              </w:rPr>
              <w:tab/>
            </w:r>
            <w:r w:rsidRPr="00970B45">
              <w:rPr>
                <w:rStyle w:val="Hiperpovezava"/>
                <w:rFonts w:ascii="Arial" w:eastAsiaTheme="minorHAnsi" w:hAnsi="Arial" w:cs="Arial"/>
                <w:noProof/>
              </w:rPr>
              <w:t>Uvod</w:t>
            </w:r>
            <w:r w:rsidRPr="00970B45">
              <w:rPr>
                <w:noProof/>
                <w:webHidden/>
              </w:rPr>
              <w:tab/>
            </w:r>
            <w:r w:rsidRPr="00970B45">
              <w:rPr>
                <w:noProof/>
                <w:webHidden/>
              </w:rPr>
              <w:fldChar w:fldCharType="begin"/>
            </w:r>
            <w:r w:rsidRPr="00970B45">
              <w:rPr>
                <w:noProof/>
                <w:webHidden/>
              </w:rPr>
              <w:instrText xml:space="preserve"> PAGEREF _Toc178228151 \h </w:instrText>
            </w:r>
            <w:r w:rsidRPr="00970B45">
              <w:rPr>
                <w:noProof/>
                <w:webHidden/>
              </w:rPr>
            </w:r>
            <w:r w:rsidRPr="00970B45">
              <w:rPr>
                <w:noProof/>
                <w:webHidden/>
              </w:rPr>
              <w:fldChar w:fldCharType="separate"/>
            </w:r>
            <w:r w:rsidRPr="00970B45">
              <w:rPr>
                <w:noProof/>
                <w:webHidden/>
              </w:rPr>
              <w:t>2</w:t>
            </w:r>
            <w:r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53" w:history="1">
            <w:r w:rsidR="00970B45" w:rsidRPr="00970B45">
              <w:rPr>
                <w:rStyle w:val="Hiperpovezava"/>
                <w:rFonts w:ascii="Arial" w:eastAsiaTheme="minorHAnsi" w:hAnsi="Arial" w:cs="Arial"/>
                <w:noProof/>
              </w:rPr>
              <w:t>3</w:t>
            </w:r>
            <w:r w:rsidR="00970B45" w:rsidRPr="00970B45">
              <w:rPr>
                <w:noProof/>
                <w:lang w:eastAsia="sl-SI"/>
              </w:rPr>
              <w:tab/>
            </w:r>
            <w:r w:rsidR="00970B45" w:rsidRPr="00970B45">
              <w:rPr>
                <w:rStyle w:val="Hiperpovezava"/>
                <w:rFonts w:ascii="Arial" w:eastAsiaTheme="minorHAnsi" w:hAnsi="Arial" w:cs="Arial"/>
                <w:noProof/>
              </w:rPr>
              <w:t>Zastaranje v davčnem pravu</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_Toc178228153 \h </w:instrText>
            </w:r>
            <w:r w:rsidR="00970B45" w:rsidRPr="00970B45">
              <w:rPr>
                <w:noProof/>
                <w:webHidden/>
              </w:rPr>
            </w:r>
            <w:r w:rsidR="00970B45" w:rsidRPr="00970B45">
              <w:rPr>
                <w:noProof/>
                <w:webHidden/>
              </w:rPr>
              <w:fldChar w:fldCharType="separate"/>
            </w:r>
            <w:r w:rsidR="00970B45" w:rsidRPr="00970B45">
              <w:rPr>
                <w:noProof/>
                <w:webHidden/>
              </w:rPr>
              <w:t>2</w:t>
            </w:r>
            <w:r w:rsidR="00970B45"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54" w:history="1">
            <w:r w:rsidR="00970B45" w:rsidRPr="00970B45">
              <w:rPr>
                <w:rStyle w:val="Hiperpovezava"/>
                <w:rFonts w:ascii="Arial" w:eastAsiaTheme="minorHAnsi" w:hAnsi="Arial" w:cs="Arial"/>
                <w:noProof/>
              </w:rPr>
              <w:t>4</w:t>
            </w:r>
            <w:r w:rsidR="00970B45" w:rsidRPr="00970B45">
              <w:rPr>
                <w:noProof/>
                <w:lang w:eastAsia="sl-SI"/>
              </w:rPr>
              <w:tab/>
            </w:r>
            <w:r w:rsidR="00970B45" w:rsidRPr="00970B45">
              <w:rPr>
                <w:rStyle w:val="Hiperpovezava"/>
                <w:rFonts w:ascii="Arial" w:eastAsiaTheme="minorHAnsi" w:hAnsi="Arial" w:cs="Arial"/>
                <w:noProof/>
              </w:rPr>
              <w:t>Zakon o davčnem postopku-ZDavP-2</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_Toc178228154 \h </w:instrText>
            </w:r>
            <w:r w:rsidR="00970B45" w:rsidRPr="00970B45">
              <w:rPr>
                <w:noProof/>
                <w:webHidden/>
              </w:rPr>
            </w:r>
            <w:r w:rsidR="00970B45" w:rsidRPr="00970B45">
              <w:rPr>
                <w:noProof/>
                <w:webHidden/>
              </w:rPr>
              <w:fldChar w:fldCharType="separate"/>
            </w:r>
            <w:r w:rsidR="00970B45" w:rsidRPr="00970B45">
              <w:rPr>
                <w:noProof/>
                <w:webHidden/>
              </w:rPr>
              <w:t>3</w:t>
            </w:r>
            <w:r w:rsidR="00970B45"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55" w:history="1">
            <w:r w:rsidR="00970B45" w:rsidRPr="00970B45">
              <w:rPr>
                <w:rStyle w:val="Hiperpovezava"/>
                <w:rFonts w:ascii="Arial" w:eastAsiaTheme="minorHAnsi" w:hAnsi="Arial" w:cs="Arial"/>
                <w:noProof/>
              </w:rPr>
              <w:t>5</w:t>
            </w:r>
            <w:r w:rsidR="00970B45" w:rsidRPr="00970B45">
              <w:rPr>
                <w:noProof/>
                <w:lang w:eastAsia="sl-SI"/>
              </w:rPr>
              <w:tab/>
            </w:r>
            <w:r w:rsidR="00970B45" w:rsidRPr="00970B45">
              <w:rPr>
                <w:rStyle w:val="Hiperpovezava"/>
                <w:rFonts w:ascii="Arial" w:eastAsiaTheme="minorHAnsi" w:hAnsi="Arial" w:cs="Arial"/>
                <w:noProof/>
              </w:rPr>
              <w:t>Zastaranje pravice do odmere davka</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_Toc178228155 \h </w:instrText>
            </w:r>
            <w:r w:rsidR="00970B45" w:rsidRPr="00970B45">
              <w:rPr>
                <w:noProof/>
                <w:webHidden/>
              </w:rPr>
            </w:r>
            <w:r w:rsidR="00970B45" w:rsidRPr="00970B45">
              <w:rPr>
                <w:noProof/>
                <w:webHidden/>
              </w:rPr>
              <w:fldChar w:fldCharType="separate"/>
            </w:r>
            <w:r w:rsidR="00970B45" w:rsidRPr="00970B45">
              <w:rPr>
                <w:noProof/>
                <w:webHidden/>
              </w:rPr>
              <w:t>3</w:t>
            </w:r>
            <w:r w:rsidR="00970B45" w:rsidRPr="00970B45">
              <w:rPr>
                <w:noProof/>
                <w:webHidden/>
              </w:rPr>
              <w:fldChar w:fldCharType="end"/>
            </w:r>
          </w:hyperlink>
        </w:p>
        <w:p w:rsidR="00970B45" w:rsidRPr="00970B45" w:rsidRDefault="00DB436F" w:rsidP="00970B45">
          <w:pPr>
            <w:pStyle w:val="Kazalovsebine2"/>
            <w:tabs>
              <w:tab w:val="left" w:pos="880"/>
              <w:tab w:val="right" w:leader="dot" w:pos="9062"/>
            </w:tabs>
            <w:rPr>
              <w:noProof/>
              <w:lang w:eastAsia="sl-SI"/>
            </w:rPr>
          </w:pPr>
          <w:hyperlink w:anchor="_Toc178228156" w:history="1">
            <w:r w:rsidR="00970B45" w:rsidRPr="00970B45">
              <w:rPr>
                <w:rStyle w:val="Hiperpovezava"/>
                <w:rFonts w:ascii="Arial" w:eastAsiaTheme="minorHAnsi" w:hAnsi="Arial" w:cs="Arial"/>
                <w:noProof/>
              </w:rPr>
              <w:t>5.1</w:t>
            </w:r>
            <w:r w:rsidR="00970B45" w:rsidRPr="00970B45">
              <w:rPr>
                <w:noProof/>
                <w:lang w:eastAsia="sl-SI"/>
              </w:rPr>
              <w:tab/>
            </w:r>
            <w:r w:rsidR="00970B45" w:rsidRPr="00970B45">
              <w:rPr>
                <w:rStyle w:val="Hiperpovezava"/>
                <w:rFonts w:ascii="Arial" w:eastAsiaTheme="minorHAnsi" w:hAnsi="Arial" w:cs="Arial"/>
                <w:noProof/>
              </w:rPr>
              <w:t>Splošni zastaralni roki</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_Toc178228156 \h </w:instrText>
            </w:r>
            <w:r w:rsidR="00970B45" w:rsidRPr="00970B45">
              <w:rPr>
                <w:noProof/>
                <w:webHidden/>
              </w:rPr>
            </w:r>
            <w:r w:rsidR="00970B45" w:rsidRPr="00970B45">
              <w:rPr>
                <w:noProof/>
                <w:webHidden/>
              </w:rPr>
              <w:fldChar w:fldCharType="separate"/>
            </w:r>
            <w:r w:rsidR="00970B45" w:rsidRPr="00970B45">
              <w:rPr>
                <w:noProof/>
                <w:webHidden/>
              </w:rPr>
              <w:t>3</w:t>
            </w:r>
            <w:r w:rsidR="00970B45" w:rsidRPr="00970B45">
              <w:rPr>
                <w:noProof/>
                <w:webHidden/>
              </w:rPr>
              <w:fldChar w:fldCharType="end"/>
            </w:r>
          </w:hyperlink>
        </w:p>
        <w:p w:rsidR="00970B45" w:rsidRPr="00970B45" w:rsidRDefault="00DB436F" w:rsidP="00970B45">
          <w:pPr>
            <w:pStyle w:val="Kazalovsebine2"/>
            <w:tabs>
              <w:tab w:val="left" w:pos="880"/>
              <w:tab w:val="right" w:leader="dot" w:pos="9062"/>
            </w:tabs>
            <w:rPr>
              <w:noProof/>
              <w:lang w:eastAsia="sl-SI"/>
            </w:rPr>
          </w:pPr>
          <w:hyperlink w:anchor="_Toc178228157" w:history="1">
            <w:r w:rsidR="00970B45" w:rsidRPr="00970B45">
              <w:rPr>
                <w:rStyle w:val="Hiperpovezava"/>
                <w:rFonts w:ascii="Arial" w:eastAsiaTheme="minorHAnsi" w:hAnsi="Arial" w:cs="Arial"/>
                <w:noProof/>
              </w:rPr>
              <w:t>5.2</w:t>
            </w:r>
            <w:r w:rsidR="00970B45" w:rsidRPr="00970B45">
              <w:rPr>
                <w:noProof/>
                <w:lang w:eastAsia="sl-SI"/>
              </w:rPr>
              <w:tab/>
            </w:r>
            <w:r w:rsidR="00970B45" w:rsidRPr="00970B45">
              <w:rPr>
                <w:rStyle w:val="Hiperpovezava"/>
                <w:rFonts w:ascii="Arial" w:eastAsiaTheme="minorHAnsi" w:hAnsi="Arial" w:cs="Arial"/>
                <w:noProof/>
              </w:rPr>
              <w:t>Posebni zastaralni roki</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_Toc178228157 \h </w:instrText>
            </w:r>
            <w:r w:rsidR="00970B45" w:rsidRPr="00970B45">
              <w:rPr>
                <w:noProof/>
                <w:webHidden/>
              </w:rPr>
            </w:r>
            <w:r w:rsidR="00970B45" w:rsidRPr="00970B45">
              <w:rPr>
                <w:noProof/>
                <w:webHidden/>
              </w:rPr>
              <w:fldChar w:fldCharType="separate"/>
            </w:r>
            <w:r w:rsidR="00970B45" w:rsidRPr="00970B45">
              <w:rPr>
                <w:noProof/>
                <w:webHidden/>
              </w:rPr>
              <w:t>3</w:t>
            </w:r>
            <w:r w:rsidR="00970B45" w:rsidRPr="00970B45">
              <w:rPr>
                <w:noProof/>
                <w:webHidden/>
              </w:rPr>
              <w:fldChar w:fldCharType="end"/>
            </w:r>
          </w:hyperlink>
        </w:p>
        <w:p w:rsidR="00970B45" w:rsidRPr="00970B45" w:rsidRDefault="00DB436F" w:rsidP="00970B45">
          <w:pPr>
            <w:pStyle w:val="Kazalovsebine3"/>
            <w:tabs>
              <w:tab w:val="left" w:pos="1320"/>
              <w:tab w:val="right" w:leader="dot" w:pos="9062"/>
            </w:tabs>
            <w:rPr>
              <w:noProof/>
              <w:lang w:eastAsia="sl-SI"/>
            </w:rPr>
          </w:pPr>
          <w:hyperlink w:anchor="_Toc178228158" w:history="1">
            <w:r w:rsidR="00970B45" w:rsidRPr="00970B45">
              <w:rPr>
                <w:rStyle w:val="Hiperpovezava"/>
                <w:rFonts w:ascii="Arial" w:eastAsiaTheme="minorHAnsi" w:hAnsi="Arial" w:cs="Arial"/>
                <w:noProof/>
              </w:rPr>
              <w:t>5.2.1</w:t>
            </w:r>
            <w:r w:rsidR="00970B45" w:rsidRPr="00970B45">
              <w:rPr>
                <w:noProof/>
                <w:lang w:eastAsia="sl-SI"/>
              </w:rPr>
              <w:tab/>
            </w:r>
            <w:r w:rsidR="00970B45" w:rsidRPr="00970B45">
              <w:rPr>
                <w:rStyle w:val="Hiperpovezava"/>
                <w:rFonts w:ascii="Arial" w:eastAsiaTheme="minorHAnsi" w:hAnsi="Arial" w:cs="Arial"/>
                <w:noProof/>
              </w:rPr>
              <w:t>Zastaranje odmere davka na promet nepremičnin in davka na darila in zastaranje odmere davka na dediščine in darila</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_Toc178228158 \h </w:instrText>
            </w:r>
            <w:r w:rsidR="00970B45" w:rsidRPr="00970B45">
              <w:rPr>
                <w:noProof/>
                <w:webHidden/>
              </w:rPr>
            </w:r>
            <w:r w:rsidR="00970B45" w:rsidRPr="00970B45">
              <w:rPr>
                <w:noProof/>
                <w:webHidden/>
              </w:rPr>
              <w:fldChar w:fldCharType="separate"/>
            </w:r>
            <w:r w:rsidR="00970B45" w:rsidRPr="00970B45">
              <w:rPr>
                <w:noProof/>
                <w:webHidden/>
              </w:rPr>
              <w:t>4</w:t>
            </w:r>
            <w:r w:rsidR="00970B45" w:rsidRPr="00970B45">
              <w:rPr>
                <w:noProof/>
                <w:webHidden/>
              </w:rPr>
              <w:fldChar w:fldCharType="end"/>
            </w:r>
          </w:hyperlink>
        </w:p>
        <w:p w:rsidR="00970B45" w:rsidRPr="00970B45" w:rsidRDefault="00DB436F" w:rsidP="00970B45">
          <w:pPr>
            <w:pStyle w:val="Kazalovsebine3"/>
            <w:tabs>
              <w:tab w:val="left" w:pos="880"/>
              <w:tab w:val="right" w:leader="dot" w:pos="9062"/>
            </w:tabs>
            <w:rPr>
              <w:noProof/>
              <w:lang w:eastAsia="sl-SI"/>
            </w:rPr>
          </w:pPr>
          <w:hyperlink w:anchor="_Toc178228160" w:history="1">
            <w:r w:rsidR="00970B45" w:rsidRPr="00970B45">
              <w:rPr>
                <w:rStyle w:val="Hiperpovezava"/>
                <w:rFonts w:ascii="Arial" w:eastAsiaTheme="minorHAnsi" w:hAnsi="Arial" w:cs="Arial"/>
                <w:noProof/>
              </w:rPr>
              <w:t>5.2.2</w:t>
            </w:r>
            <w:r w:rsidR="00970B45" w:rsidRPr="00970B45">
              <w:rPr>
                <w:noProof/>
              </w:rPr>
              <w:t xml:space="preserve"> </w:t>
            </w:r>
            <w:r w:rsidR="00970B45" w:rsidRPr="00970B45">
              <w:rPr>
                <w:rStyle w:val="Hiperpovezava"/>
                <w:rFonts w:ascii="Arial" w:eastAsiaTheme="minorHAnsi" w:hAnsi="Arial" w:cs="Arial"/>
                <w:noProof/>
              </w:rPr>
              <w:t>Zastaranje odmere davka na nenapovedane dohodke</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_Toc178228160 \h </w:instrText>
            </w:r>
            <w:r w:rsidR="00970B45" w:rsidRPr="00970B45">
              <w:rPr>
                <w:noProof/>
                <w:webHidden/>
              </w:rPr>
            </w:r>
            <w:r w:rsidR="00970B45" w:rsidRPr="00970B45">
              <w:rPr>
                <w:noProof/>
                <w:webHidden/>
              </w:rPr>
              <w:fldChar w:fldCharType="separate"/>
            </w:r>
            <w:r w:rsidR="00970B45" w:rsidRPr="00970B45">
              <w:rPr>
                <w:noProof/>
                <w:webHidden/>
              </w:rPr>
              <w:t>4</w:t>
            </w:r>
            <w:r w:rsidR="00970B45"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61" w:history="1">
            <w:r w:rsidR="00970B45" w:rsidRPr="00970B45">
              <w:rPr>
                <w:rStyle w:val="Hiperpovezava"/>
                <w:rFonts w:ascii="Arial" w:eastAsiaTheme="minorHAnsi" w:hAnsi="Arial" w:cs="Arial"/>
                <w:noProof/>
              </w:rPr>
              <w:t>6</w:t>
            </w:r>
            <w:r w:rsidR="00970B45" w:rsidRPr="00970B45">
              <w:rPr>
                <w:noProof/>
                <w:lang w:eastAsia="sl-SI"/>
              </w:rPr>
              <w:tab/>
            </w:r>
            <w:r w:rsidR="00970B45" w:rsidRPr="00970B45">
              <w:rPr>
                <w:rStyle w:val="Hiperpovezava"/>
                <w:rFonts w:ascii="Arial" w:eastAsiaTheme="minorHAnsi" w:hAnsi="Arial" w:cs="Arial"/>
                <w:noProof/>
              </w:rPr>
              <w:t>Zastaranje pravice do izterjave</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_Toc178228161 \h </w:instrText>
            </w:r>
            <w:r w:rsidR="00970B45" w:rsidRPr="00970B45">
              <w:rPr>
                <w:noProof/>
                <w:webHidden/>
              </w:rPr>
            </w:r>
            <w:r w:rsidR="00970B45" w:rsidRPr="00970B45">
              <w:rPr>
                <w:noProof/>
                <w:webHidden/>
              </w:rPr>
              <w:fldChar w:fldCharType="separate"/>
            </w:r>
            <w:r w:rsidR="00970B45" w:rsidRPr="00970B45">
              <w:rPr>
                <w:noProof/>
                <w:webHidden/>
              </w:rPr>
              <w:t>4</w:t>
            </w:r>
            <w:r w:rsidR="00970B45"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62" w:history="1">
            <w:r w:rsidR="00970B45" w:rsidRPr="00970B45">
              <w:rPr>
                <w:rStyle w:val="Hiperpovezava"/>
                <w:rFonts w:ascii="Arial" w:eastAsia="Times New Roman" w:hAnsi="Arial" w:cs="Arial"/>
                <w:noProof/>
                <w:lang w:eastAsia="sl-SI"/>
              </w:rPr>
              <w:t>7</w:t>
            </w:r>
            <w:r w:rsidR="00970B45" w:rsidRPr="00970B45">
              <w:rPr>
                <w:noProof/>
                <w:lang w:eastAsia="sl-SI"/>
              </w:rPr>
              <w:tab/>
            </w:r>
            <w:r w:rsidR="00970B45" w:rsidRPr="00970B45">
              <w:rPr>
                <w:rStyle w:val="Hiperpovezava"/>
                <w:rFonts w:ascii="Arial" w:eastAsiaTheme="minorHAnsi" w:hAnsi="Arial" w:cs="Arial"/>
                <w:noProof/>
              </w:rPr>
              <w:t>Zastaranje pravice do vračila davka</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_Toc178228162 \h </w:instrText>
            </w:r>
            <w:r w:rsidR="00970B45" w:rsidRPr="00970B45">
              <w:rPr>
                <w:noProof/>
                <w:webHidden/>
              </w:rPr>
            </w:r>
            <w:r w:rsidR="00970B45" w:rsidRPr="00970B45">
              <w:rPr>
                <w:noProof/>
                <w:webHidden/>
              </w:rPr>
              <w:fldChar w:fldCharType="separate"/>
            </w:r>
            <w:r w:rsidR="00970B45" w:rsidRPr="00970B45">
              <w:rPr>
                <w:noProof/>
                <w:webHidden/>
              </w:rPr>
              <w:t>5</w:t>
            </w:r>
            <w:r w:rsidR="00970B45"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63" w:history="1">
            <w:r w:rsidR="00970B45" w:rsidRPr="00970B45">
              <w:rPr>
                <w:rStyle w:val="Hiperpovezava"/>
                <w:rFonts w:ascii="Arial" w:eastAsiaTheme="minorHAnsi" w:hAnsi="Arial" w:cs="Arial"/>
                <w:noProof/>
              </w:rPr>
              <w:t>8</w:t>
            </w:r>
            <w:r w:rsidR="00970B45" w:rsidRPr="00970B45">
              <w:rPr>
                <w:noProof/>
                <w:lang w:eastAsia="sl-SI"/>
              </w:rPr>
              <w:tab/>
            </w:r>
            <w:r w:rsidR="00970B45" w:rsidRPr="00970B45">
              <w:rPr>
                <w:rStyle w:val="Hiperpovezava"/>
                <w:rFonts w:ascii="Arial" w:eastAsiaTheme="minorHAnsi" w:hAnsi="Arial" w:cs="Arial"/>
                <w:noProof/>
              </w:rPr>
              <w:t>Pretrganje zastaranja</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_Toc178228163 \h </w:instrText>
            </w:r>
            <w:r w:rsidR="00970B45" w:rsidRPr="00970B45">
              <w:rPr>
                <w:noProof/>
                <w:webHidden/>
              </w:rPr>
            </w:r>
            <w:r w:rsidR="00970B45" w:rsidRPr="00970B45">
              <w:rPr>
                <w:noProof/>
                <w:webHidden/>
              </w:rPr>
              <w:fldChar w:fldCharType="separate"/>
            </w:r>
            <w:r w:rsidR="00970B45" w:rsidRPr="00970B45">
              <w:rPr>
                <w:noProof/>
                <w:webHidden/>
              </w:rPr>
              <w:t>6</w:t>
            </w:r>
            <w:r w:rsidR="00970B45" w:rsidRPr="00970B45">
              <w:rPr>
                <w:noProof/>
                <w:webHidden/>
              </w:rPr>
              <w:fldChar w:fldCharType="end"/>
            </w:r>
          </w:hyperlink>
        </w:p>
        <w:p w:rsidR="00970B45" w:rsidRPr="00970B45" w:rsidRDefault="00DB436F" w:rsidP="00970B45">
          <w:pPr>
            <w:pStyle w:val="Kazalovsebine1"/>
            <w:tabs>
              <w:tab w:val="left" w:pos="440"/>
              <w:tab w:val="right" w:leader="dot" w:pos="9062"/>
            </w:tabs>
            <w:rPr>
              <w:noProof/>
              <w:lang w:eastAsia="sl-SI"/>
            </w:rPr>
          </w:pPr>
          <w:hyperlink w:anchor="_Toc178228165" w:history="1">
            <w:r w:rsidR="00970B45" w:rsidRPr="00970B45">
              <w:rPr>
                <w:rStyle w:val="Hiperpovezava"/>
                <w:rFonts w:ascii="Arial" w:eastAsiaTheme="minorHAnsi" w:hAnsi="Arial" w:cs="Arial"/>
                <w:noProof/>
              </w:rPr>
              <w:t>9</w:t>
            </w:r>
            <w:r w:rsidR="00970B45" w:rsidRPr="00970B45">
              <w:rPr>
                <w:noProof/>
                <w:lang w:eastAsia="sl-SI"/>
              </w:rPr>
              <w:tab/>
            </w:r>
            <w:r w:rsidR="00970B45" w:rsidRPr="00970B45">
              <w:rPr>
                <w:rStyle w:val="Hiperpovezava"/>
                <w:rFonts w:ascii="Arial" w:eastAsiaTheme="minorHAnsi" w:hAnsi="Arial" w:cs="Arial"/>
                <w:noProof/>
              </w:rPr>
              <w:t>Zadržanje zastaranja</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_Toc178228165 \h </w:instrText>
            </w:r>
            <w:r w:rsidR="00970B45" w:rsidRPr="00970B45">
              <w:rPr>
                <w:noProof/>
                <w:webHidden/>
              </w:rPr>
            </w:r>
            <w:r w:rsidR="00970B45" w:rsidRPr="00970B45">
              <w:rPr>
                <w:noProof/>
                <w:webHidden/>
              </w:rPr>
              <w:fldChar w:fldCharType="separate"/>
            </w:r>
            <w:r w:rsidR="00970B45" w:rsidRPr="00970B45">
              <w:rPr>
                <w:noProof/>
                <w:webHidden/>
              </w:rPr>
              <w:t>7</w:t>
            </w:r>
            <w:r w:rsidR="00970B45" w:rsidRPr="00970B45">
              <w:rPr>
                <w:noProof/>
                <w:webHidden/>
              </w:rPr>
              <w:fldChar w:fldCharType="end"/>
            </w:r>
          </w:hyperlink>
        </w:p>
        <w:p w:rsidR="00970B45" w:rsidRPr="00970B45" w:rsidRDefault="00DB436F" w:rsidP="00970B45">
          <w:pPr>
            <w:pStyle w:val="Kazalovsebine1"/>
            <w:tabs>
              <w:tab w:val="left" w:pos="660"/>
              <w:tab w:val="right" w:leader="dot" w:pos="9062"/>
            </w:tabs>
            <w:rPr>
              <w:noProof/>
              <w:lang w:eastAsia="sl-SI"/>
            </w:rPr>
          </w:pPr>
          <w:hyperlink w:anchor="_Toc178228167" w:history="1">
            <w:r w:rsidR="00970B45" w:rsidRPr="00970B45">
              <w:rPr>
                <w:rStyle w:val="Hiperpovezava"/>
                <w:rFonts w:ascii="Arial" w:eastAsiaTheme="minorHAnsi" w:hAnsi="Arial" w:cs="Arial"/>
                <w:noProof/>
              </w:rPr>
              <w:t>10</w:t>
            </w:r>
            <w:r w:rsidR="00970B45" w:rsidRPr="00970B45">
              <w:rPr>
                <w:noProof/>
                <w:lang w:eastAsia="sl-SI"/>
              </w:rPr>
              <w:tab/>
            </w:r>
            <w:r w:rsidR="00970B45" w:rsidRPr="00970B45">
              <w:rPr>
                <w:rStyle w:val="Hiperpovezava"/>
                <w:rFonts w:ascii="Arial" w:eastAsiaTheme="minorHAnsi" w:hAnsi="Arial" w:cs="Arial"/>
                <w:noProof/>
              </w:rPr>
              <w:t>Zastaranje carinskega dolga</w:t>
            </w:r>
            <w:r w:rsidR="00970B45" w:rsidRPr="00970B45">
              <w:rPr>
                <w:noProof/>
                <w:webHidden/>
              </w:rPr>
              <w:tab/>
            </w:r>
            <w:r w:rsidR="00970B45" w:rsidRPr="00970B45">
              <w:rPr>
                <w:noProof/>
                <w:webHidden/>
              </w:rPr>
              <w:fldChar w:fldCharType="begin"/>
            </w:r>
            <w:r w:rsidR="00970B45" w:rsidRPr="00970B45">
              <w:rPr>
                <w:noProof/>
                <w:webHidden/>
              </w:rPr>
              <w:instrText xml:space="preserve"> PAGEREF _Toc178228167 \h </w:instrText>
            </w:r>
            <w:r w:rsidR="00970B45" w:rsidRPr="00970B45">
              <w:rPr>
                <w:noProof/>
                <w:webHidden/>
              </w:rPr>
            </w:r>
            <w:r w:rsidR="00970B45" w:rsidRPr="00970B45">
              <w:rPr>
                <w:noProof/>
                <w:webHidden/>
              </w:rPr>
              <w:fldChar w:fldCharType="separate"/>
            </w:r>
            <w:r w:rsidR="00970B45" w:rsidRPr="00970B45">
              <w:rPr>
                <w:noProof/>
                <w:webHidden/>
              </w:rPr>
              <w:t>8</w:t>
            </w:r>
            <w:r w:rsidR="00970B45" w:rsidRPr="00970B45">
              <w:rPr>
                <w:noProof/>
                <w:webHidden/>
              </w:rPr>
              <w:fldChar w:fldCharType="end"/>
            </w:r>
          </w:hyperlink>
        </w:p>
        <w:p w:rsidR="00970B45" w:rsidRPr="00970B45" w:rsidRDefault="00970B45" w:rsidP="00970B45">
          <w:pPr>
            <w:rPr>
              <w:rFonts w:cs="Arial"/>
              <w:noProof/>
              <w:szCs w:val="20"/>
              <w:lang w:val="sl-SI"/>
            </w:rPr>
          </w:pPr>
          <w:r w:rsidRPr="00970B45">
            <w:rPr>
              <w:rFonts w:cs="Arial"/>
              <w:b/>
              <w:bCs/>
              <w:noProof/>
              <w:szCs w:val="20"/>
              <w:lang w:val="sl-SI"/>
            </w:rPr>
            <w:fldChar w:fldCharType="end"/>
          </w:r>
        </w:p>
      </w:sdtContent>
    </w:sdt>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Default="00970B4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Default="001E1635" w:rsidP="00970B45">
      <w:pPr>
        <w:jc w:val="both"/>
        <w:rPr>
          <w:rFonts w:eastAsiaTheme="minorHAnsi" w:cs="Arial"/>
          <w:noProof/>
          <w:szCs w:val="20"/>
          <w:lang w:val="sl-SI"/>
        </w:rPr>
      </w:pPr>
    </w:p>
    <w:p w:rsidR="001E1635" w:rsidRPr="00970B45" w:rsidRDefault="001E163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1" w:name="_Toc178228151"/>
      <w:r w:rsidRPr="00970B45">
        <w:rPr>
          <w:rFonts w:eastAsiaTheme="minorHAnsi" w:cs="Arial"/>
          <w:noProof/>
          <w:sz w:val="20"/>
          <w:szCs w:val="20"/>
        </w:rPr>
        <w:lastRenderedPageBreak/>
        <w:t>Uvod</w:t>
      </w:r>
      <w:bookmarkEnd w:id="1"/>
    </w:p>
    <w:p w:rsidR="00970B45" w:rsidRPr="00970B45" w:rsidRDefault="00970B45" w:rsidP="00970B45">
      <w:pPr>
        <w:jc w:val="both"/>
        <w:rPr>
          <w:rFonts w:eastAsiaTheme="minorHAnsi" w:cs="Arial"/>
          <w:b/>
          <w:noProof/>
          <w:szCs w:val="20"/>
          <w:lang w:val="sl-SI"/>
        </w:rPr>
      </w:pPr>
    </w:p>
    <w:p w:rsidR="00970B45" w:rsidRPr="00970B45" w:rsidRDefault="00970B45" w:rsidP="00970B45">
      <w:pPr>
        <w:jc w:val="both"/>
        <w:rPr>
          <w:rFonts w:eastAsiaTheme="minorHAnsi" w:cs="Arial"/>
          <w:b/>
          <w:noProof/>
          <w:szCs w:val="20"/>
          <w:lang w:val="sl-SI"/>
        </w:rPr>
      </w:pPr>
      <w:r w:rsidRPr="00970B45">
        <w:rPr>
          <w:rFonts w:eastAsiaTheme="minorHAnsi" w:cs="Arial"/>
          <w:b/>
          <w:noProof/>
          <w:szCs w:val="20"/>
          <w:lang w:val="sl-SI"/>
        </w:rPr>
        <w:t>Davčna obveznost nastane neposredno na podlagi zakona, ko se izpolnijo zakonski pogoji.</w:t>
      </w:r>
    </w:p>
    <w:p w:rsidR="00970B45" w:rsidRPr="00970B45" w:rsidRDefault="00970B45" w:rsidP="00970B45">
      <w:pPr>
        <w:jc w:val="both"/>
        <w:rPr>
          <w:rFonts w:cs="Arial"/>
          <w:noProof/>
          <w:color w:val="292B2C"/>
          <w:szCs w:val="20"/>
          <w:lang w:val="sl-SI" w:eastAsia="sl-SI"/>
        </w:rPr>
      </w:pPr>
      <w:r w:rsidRPr="00970B45">
        <w:rPr>
          <w:rFonts w:eastAsiaTheme="minorHAnsi" w:cs="Arial"/>
          <w:noProof/>
          <w:szCs w:val="20"/>
          <w:lang w:val="sl-SI"/>
        </w:rPr>
        <w:t xml:space="preserve">Po 44. členu </w:t>
      </w:r>
      <w:hyperlink r:id="rId8" w:history="1">
        <w:r w:rsidRPr="00970B45">
          <w:rPr>
            <w:rFonts w:eastAsiaTheme="minorHAnsi" w:cs="Arial"/>
            <w:noProof/>
            <w:color w:val="0000FF" w:themeColor="hyperlink"/>
            <w:szCs w:val="20"/>
            <w:u w:val="single"/>
            <w:lang w:val="sl-SI"/>
          </w:rPr>
          <w:t>Zakona o davčnem postopku</w:t>
        </w:r>
      </w:hyperlink>
      <w:r w:rsidRPr="00970B45">
        <w:rPr>
          <w:rFonts w:eastAsiaTheme="minorHAnsi" w:cs="Arial"/>
          <w:noProof/>
          <w:szCs w:val="20"/>
          <w:lang w:val="sl-SI"/>
        </w:rPr>
        <w:t xml:space="preserve"> – v nadaljevanju ZDavP-2, je dolžnost zavezanca za davek, da plača na podlagi zakona določen znesek davka, pod pogoji in na način, določen z zakonom o obdavčenju in z ZDavP-2. </w:t>
      </w:r>
      <w:r w:rsidRPr="00970B45">
        <w:rPr>
          <w:rFonts w:cs="Arial"/>
          <w:noProof/>
          <w:color w:val="292B2C"/>
          <w:szCs w:val="20"/>
          <w:lang w:val="sl-SI" w:eastAsia="sl-SI"/>
        </w:rPr>
        <w:t>Zavezanec za davek je zavezan za izpolnitev davčne obveznosti od trenutka, ko je davčna obveznost nastala, v skladu z zakonom o obdavčenju oziroma s tem zakonom. D</w:t>
      </w:r>
      <w:r w:rsidRPr="00970B45">
        <w:rPr>
          <w:rFonts w:eastAsiaTheme="minorHAnsi" w:cs="Arial"/>
          <w:noProof/>
          <w:szCs w:val="20"/>
          <w:lang w:val="sl-SI"/>
        </w:rPr>
        <w:t>avčna obveznost, za izpolnitev katere se znesek davka izračunava po koncu časovnega obdobja, za katero se davek ugotavlja, nastane zadnji dan časovnega obdobja, za katero se davek ugotavlja, če ni z ZDavP-2 ali z zakonom o obdavčenju drugače določeno.</w:t>
      </w:r>
      <w:r w:rsidRPr="00970B45">
        <w:rPr>
          <w:rFonts w:cs="Arial"/>
          <w:noProof/>
          <w:color w:val="292B2C"/>
          <w:szCs w:val="20"/>
          <w:lang w:val="sl-SI" w:eastAsia="sl-SI"/>
        </w:rPr>
        <w:t xml:space="preserve"> Davčna obveznost preneha z izpolnitvijo in v drugih primerih, določenih s tem zakonom, npr. na podlagi zastaranja.</w:t>
      </w: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2" w:name="_Toc178228152"/>
      <w:bookmarkStart w:id="3" w:name="_Toc178228153"/>
      <w:bookmarkEnd w:id="2"/>
      <w:r w:rsidRPr="00970B45">
        <w:rPr>
          <w:rFonts w:eastAsiaTheme="minorHAnsi" w:cs="Arial"/>
          <w:noProof/>
          <w:sz w:val="20"/>
          <w:szCs w:val="20"/>
        </w:rPr>
        <w:t>Zastaranje v davčnem pravu</w:t>
      </w:r>
      <w:bookmarkEnd w:id="3"/>
    </w:p>
    <w:p w:rsidR="00970B45" w:rsidRPr="00970B45" w:rsidRDefault="00970B45" w:rsidP="00970B45">
      <w:pPr>
        <w:jc w:val="both"/>
        <w:rPr>
          <w:rFonts w:eastAsiaTheme="minorHAnsi" w:cs="Arial"/>
          <w:noProof/>
          <w:szCs w:val="20"/>
          <w:lang w:val="sl-SI"/>
        </w:rPr>
      </w:pPr>
      <w:r w:rsidRPr="00970B45">
        <w:rPr>
          <w:rFonts w:eastAsiaTheme="minorHAnsi" w:cs="Arial"/>
          <w:b/>
          <w:noProof/>
          <w:szCs w:val="20"/>
          <w:u w:val="single"/>
          <w:lang w:val="sl-SI"/>
        </w:rPr>
        <w:t>Zastaranje v davčnem pravu pomeni</w:t>
      </w:r>
      <w:r w:rsidRPr="00970B45">
        <w:rPr>
          <w:rFonts w:eastAsiaTheme="minorHAnsi" w:cs="Arial"/>
          <w:noProof/>
          <w:szCs w:val="20"/>
          <w:u w:val="single"/>
          <w:lang w:val="sl-SI"/>
        </w:rPr>
        <w:t xml:space="preserve"> </w:t>
      </w:r>
      <w:r w:rsidRPr="00970B45">
        <w:rPr>
          <w:rFonts w:eastAsiaTheme="minorHAnsi" w:cs="Arial"/>
          <w:noProof/>
          <w:szCs w:val="20"/>
          <w:lang w:val="sl-SI"/>
        </w:rPr>
        <w:t>ugasnitev pravice davčnega organa odmeriti davek, davčnega dolga ali terjatve za vračilo davka po preteku določenega roka, ki povzroči, da davčni organ nima več pristojnosti odmeriti, izterjati ali vrniti davka. To pomeni, da so pravice odmere, izterjave in vračila ugasnile, ne obstajajo več.</w:t>
      </w:r>
      <w:r w:rsidRPr="00970B45">
        <w:rPr>
          <w:rFonts w:eastAsiaTheme="minorHAnsi" w:cs="Arial"/>
          <w:noProof/>
          <w:szCs w:val="20"/>
          <w:vertAlign w:val="superscript"/>
          <w:lang w:val="sl-SI"/>
        </w:rPr>
        <w:footnoteReference w:id="1"/>
      </w:r>
    </w:p>
    <w:p w:rsidR="00970B45" w:rsidRPr="00970B45" w:rsidRDefault="00970B45" w:rsidP="00970B45">
      <w:pPr>
        <w:jc w:val="both"/>
        <w:rPr>
          <w:rFonts w:eastAsiaTheme="minorHAnsi" w:cs="Arial"/>
          <w:noProof/>
          <w:szCs w:val="20"/>
          <w:u w:val="single"/>
          <w:lang w:val="sl-SI"/>
        </w:rPr>
      </w:pPr>
      <w:r w:rsidRPr="00970B45">
        <w:rPr>
          <w:rFonts w:eastAsiaTheme="minorHAnsi" w:cs="Arial"/>
          <w:noProof/>
          <w:szCs w:val="20"/>
          <w:lang w:val="sl-SI"/>
        </w:rPr>
        <w:t>Zastaranje v davčnem pravu je materialnopravni institut</w:t>
      </w:r>
      <w:r w:rsidRPr="00970B45">
        <w:rPr>
          <w:rFonts w:eastAsiaTheme="minorHAnsi" w:cs="Arial"/>
          <w:noProof/>
          <w:szCs w:val="20"/>
          <w:vertAlign w:val="superscript"/>
          <w:lang w:val="sl-SI"/>
        </w:rPr>
        <w:footnoteReference w:id="2"/>
      </w:r>
      <w:r w:rsidRPr="00970B45">
        <w:rPr>
          <w:rFonts w:eastAsiaTheme="minorHAnsi" w:cs="Arial"/>
          <w:noProof/>
          <w:szCs w:val="20"/>
          <w:lang w:val="sl-SI"/>
        </w:rPr>
        <w:t xml:space="preserve">, ki pa ima procesne posledice, in sicer je ena od teh posledic, da davčni organ po izteku zastaralnega roka, davka ne more več niti odmeriti niti že odmerjenega davka izterjati.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Pri tem se je sodna prakse glede zastaranja opredelila tudi do vprašanja, kateri zakon se uporabi, če se v času od nastanka davčne obveznosti spremeni zakon, in sicer se po stališču Vrhovnega sodišča v davčnih zadevah za ugotovitev davčne osnove, davčne stopnje in opredelitve davčnega zavezanca uporabi zakon, ki je veljal v času nastanka davčne obveznosti, torej se uporabi zakon, ki je veljal v času odločanja organa prve stopnje.</w:t>
      </w:r>
      <w:r w:rsidRPr="00970B45">
        <w:rPr>
          <w:rFonts w:eastAsiaTheme="minorHAnsi" w:cs="Arial"/>
          <w:noProof/>
          <w:szCs w:val="20"/>
          <w:vertAlign w:val="superscript"/>
          <w:lang w:val="sl-SI"/>
        </w:rPr>
        <w:footnoteReference w:id="3"/>
      </w:r>
      <w:r w:rsidRPr="00970B45">
        <w:rPr>
          <w:rFonts w:eastAsiaTheme="minorHAnsi" w:cs="Arial"/>
          <w:noProof/>
          <w:szCs w:val="20"/>
          <w:lang w:val="sl-SI"/>
        </w:rPr>
        <w:t xml:space="preserve">  V povezavi s tem je potrebno omeniti, da če se spremeni davčni zakon glede teka zastaralnih rokov, se spremenjeni zakon uporabi samo za tek zastaralnih rokov vseh davčnih obveznosti, ki po predhodnih predpisih oziroma do njihove uveljavitve še niso zastarale.</w:t>
      </w:r>
      <w:r w:rsidRPr="00970B45">
        <w:rPr>
          <w:rFonts w:eastAsiaTheme="minorHAnsi" w:cs="Arial"/>
          <w:noProof/>
          <w:szCs w:val="20"/>
          <w:vertAlign w:val="superscript"/>
          <w:lang w:val="sl-SI"/>
        </w:rPr>
        <w:footnoteReference w:id="4"/>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Prav tako pomembno stališče sodne prakse je, da po vročitvi prvostopenjske odločbe o odmeri davka, zastaranje odmere davka ne more več nastopiti, ker za to ni relevantna ne dokončnost ne pravnomočnost prvostopenjske odmerne odločbe. Po ustaljeni sodni praksi je odmera pri prvostopenjskem davčnem organu opravljena z izdajo in vročitvijo odločbe, ki nato postane izvršljiva</w:t>
      </w:r>
      <w:r w:rsidRPr="00970B45">
        <w:rPr>
          <w:rFonts w:eastAsiaTheme="minorHAnsi" w:cs="Arial"/>
          <w:noProof/>
          <w:color w:val="303030"/>
          <w:szCs w:val="20"/>
          <w:shd w:val="clear" w:color="auto" w:fill="FFFFFF"/>
          <w:lang w:val="sl-SI"/>
        </w:rPr>
        <w:t>.</w:t>
      </w:r>
      <w:r w:rsidRPr="00970B45">
        <w:rPr>
          <w:rFonts w:eastAsiaTheme="minorHAnsi" w:cs="Arial"/>
          <w:noProof/>
          <w:color w:val="303030"/>
          <w:szCs w:val="20"/>
          <w:shd w:val="clear" w:color="auto" w:fill="FFFFFF"/>
          <w:vertAlign w:val="superscript"/>
          <w:lang w:val="sl-SI"/>
        </w:rPr>
        <w:footnoteReference w:id="5"/>
      </w:r>
    </w:p>
    <w:p w:rsidR="00970B45" w:rsidRPr="00970B45" w:rsidRDefault="00970B45" w:rsidP="00970B45">
      <w:pPr>
        <w:jc w:val="both"/>
        <w:rPr>
          <w:rFonts w:eastAsiaTheme="minorHAnsi" w:cs="Arial"/>
          <w:noProof/>
          <w:color w:val="666666"/>
          <w:szCs w:val="20"/>
          <w:shd w:val="clear" w:color="auto" w:fill="FFFFFF"/>
          <w:lang w:val="sl-SI"/>
        </w:rPr>
      </w:pPr>
      <w:r w:rsidRPr="00970B45">
        <w:rPr>
          <w:rFonts w:eastAsiaTheme="minorHAnsi" w:cs="Arial"/>
          <w:noProof/>
          <w:szCs w:val="20"/>
          <w:lang w:val="sl-SI"/>
        </w:rPr>
        <w:t>Zakon ne določa, da bi morala biti odmerna odločba dokončna ali pravnomočna pred potekom petletnega relativnega roka oziroma absolutnega desetletnega zastaralnega roka za odmero.</w:t>
      </w:r>
      <w:r w:rsidRPr="00970B45">
        <w:rPr>
          <w:rFonts w:eastAsiaTheme="minorHAnsi" w:cs="Arial"/>
          <w:noProof/>
          <w:szCs w:val="20"/>
          <w:vertAlign w:val="superscript"/>
          <w:lang w:val="sl-SI"/>
        </w:rPr>
        <w:footnoteReference w:id="6"/>
      </w:r>
      <w:r w:rsidRPr="00970B45">
        <w:rPr>
          <w:rFonts w:eastAsiaTheme="minorHAnsi" w:cs="Arial"/>
          <w:noProof/>
          <w:szCs w:val="20"/>
          <w:lang w:val="sl-SI"/>
        </w:rPr>
        <w:t xml:space="preserve"> Zato zadostuje, da je odmerna odločba izdana in vročena stranki pred potekom prej navedenih rokov. S trenutkom vročitve začne odločba pravno učinkovati, saj pritožba nima suspenzivnega učinka.</w:t>
      </w:r>
      <w:r w:rsidRPr="00970B45">
        <w:rPr>
          <w:rFonts w:eastAsiaTheme="minorHAnsi" w:cs="Arial"/>
          <w:noProof/>
          <w:szCs w:val="20"/>
          <w:vertAlign w:val="superscript"/>
          <w:lang w:val="sl-SI"/>
        </w:rPr>
        <w:footnoteReference w:id="7"/>
      </w:r>
      <w:r w:rsidRPr="00970B45">
        <w:rPr>
          <w:rFonts w:eastAsiaTheme="minorHAnsi" w:cs="Arial"/>
          <w:noProof/>
          <w:szCs w:val="20"/>
          <w:lang w:val="sl-SI"/>
        </w:rPr>
        <w:t xml:space="preserve"> To hkrati pomeni, da zastaranje odmere ne more nastopiti tekom upravnega postopka na drugi stopnji oziroma sodnega postopka.</w:t>
      </w:r>
      <w:r w:rsidRPr="00970B45">
        <w:rPr>
          <w:rFonts w:eastAsiaTheme="minorHAnsi" w:cs="Arial"/>
          <w:noProof/>
          <w:szCs w:val="20"/>
          <w:vertAlign w:val="superscript"/>
          <w:lang w:val="sl-SI"/>
        </w:rPr>
        <w:footnoteReference w:id="8"/>
      </w:r>
      <w:r w:rsidRPr="00970B45">
        <w:rPr>
          <w:rFonts w:eastAsiaTheme="minorHAnsi" w:cs="Arial"/>
          <w:noProof/>
          <w:color w:val="666666"/>
          <w:szCs w:val="20"/>
          <w:shd w:val="clear" w:color="auto" w:fill="FFFFFF"/>
          <w:lang w:val="sl-SI"/>
        </w:rPr>
        <w:t xml:space="preserve">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Na zastaranje mora davčni organ paziti po uradni dolžnosti, vsekakor pa je smiselno, da na zastaranje opozori tudi zavezanec. </w:t>
      </w: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4" w:name="_Toc178228154"/>
      <w:r w:rsidRPr="00970B45">
        <w:rPr>
          <w:rFonts w:eastAsiaTheme="minorHAnsi" w:cs="Arial"/>
          <w:noProof/>
          <w:sz w:val="20"/>
          <w:szCs w:val="20"/>
        </w:rPr>
        <w:lastRenderedPageBreak/>
        <w:t>Zakon o davčnem postopku-ZDavP-2</w:t>
      </w:r>
      <w:bookmarkEnd w:id="4"/>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V ZDavP-2 je urejeno zastaranje v splošnem delu zakona, in sicer v 5. podpoglavju v členih 125, 126 in 126.a, ki ureja tri vrste zastaranja, in sicer </w:t>
      </w:r>
    </w:p>
    <w:p w:rsidR="00970B45" w:rsidRPr="00970B45" w:rsidRDefault="00970B45" w:rsidP="00970B45">
      <w:pPr>
        <w:numPr>
          <w:ilvl w:val="0"/>
          <w:numId w:val="10"/>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zastaranje odmere davka, </w:t>
      </w:r>
    </w:p>
    <w:p w:rsidR="00970B45" w:rsidRPr="00970B45" w:rsidRDefault="00970B45" w:rsidP="00970B45">
      <w:pPr>
        <w:numPr>
          <w:ilvl w:val="0"/>
          <w:numId w:val="10"/>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zastaranja izterjave davka in </w:t>
      </w:r>
    </w:p>
    <w:p w:rsidR="00970B45" w:rsidRPr="00970B45" w:rsidRDefault="00970B45" w:rsidP="00970B45">
      <w:pPr>
        <w:numPr>
          <w:ilvl w:val="0"/>
          <w:numId w:val="10"/>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zastaranje vračila davka.</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Ureditev v ZDavP-2 torej zasleduje cilje, da če država v določenem času ne začne ali dokonča postopkov, ki jih je sama predpisala, preneha tudi njena pravica, da terja davčnega zavezanca iz teh naslovov. Ne le, da ga ne more več sodno preganjati (kar lahko stori po civilnem pravu), ampak ga s tem tudi ne šteje več za svojega dolžnika in s tem tudi ne več kot davčnega zavezanca, ki ima do nje neporavnane obveznosti.</w:t>
      </w:r>
      <w:r w:rsidRPr="00970B45">
        <w:rPr>
          <w:rFonts w:eastAsiaTheme="minorHAnsi" w:cs="Arial"/>
          <w:noProof/>
          <w:szCs w:val="20"/>
          <w:vertAlign w:val="superscript"/>
          <w:lang w:val="sl-SI"/>
        </w:rPr>
        <w:footnoteReference w:id="9"/>
      </w: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5" w:name="_Toc178228155"/>
      <w:r w:rsidRPr="00970B45">
        <w:rPr>
          <w:rFonts w:eastAsiaTheme="minorHAnsi" w:cs="Arial"/>
          <w:noProof/>
          <w:sz w:val="20"/>
          <w:szCs w:val="20"/>
        </w:rPr>
        <w:t>Zastaranje pravice do odmere davka</w:t>
      </w:r>
      <w:bookmarkEnd w:id="5"/>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Pri zastaranju pravice do odmere davka ločimo dve vrsti zastaralnih rokov, in sicer splošne in posebne. </w:t>
      </w:r>
    </w:p>
    <w:p w:rsidR="00970B45" w:rsidRPr="00970B45" w:rsidRDefault="00970B45" w:rsidP="00970B45">
      <w:pPr>
        <w:pStyle w:val="Naslov2"/>
        <w:numPr>
          <w:ilvl w:val="1"/>
          <w:numId w:val="7"/>
        </w:numPr>
        <w:spacing w:before="360" w:line="259" w:lineRule="auto"/>
        <w:rPr>
          <w:rFonts w:ascii="Arial" w:eastAsiaTheme="minorHAnsi" w:hAnsi="Arial" w:cs="Arial"/>
          <w:noProof/>
          <w:sz w:val="20"/>
          <w:szCs w:val="20"/>
          <w:lang w:val="sl-SI"/>
        </w:rPr>
      </w:pPr>
      <w:r w:rsidRPr="00970B45">
        <w:rPr>
          <w:rFonts w:ascii="Arial" w:eastAsiaTheme="minorHAnsi" w:hAnsi="Arial" w:cs="Arial"/>
          <w:noProof/>
          <w:sz w:val="20"/>
          <w:szCs w:val="20"/>
          <w:lang w:val="sl-SI"/>
        </w:rPr>
        <w:t xml:space="preserve">     </w:t>
      </w:r>
      <w:bookmarkStart w:id="6" w:name="_Toc178228156"/>
      <w:r w:rsidRPr="00970B45">
        <w:rPr>
          <w:rFonts w:ascii="Arial" w:eastAsiaTheme="minorHAnsi" w:hAnsi="Arial" w:cs="Arial"/>
          <w:noProof/>
          <w:sz w:val="20"/>
          <w:szCs w:val="20"/>
          <w:lang w:val="sl-SI"/>
        </w:rPr>
        <w:t>Splošni zastaralni roki</w:t>
      </w:r>
      <w:bookmarkEnd w:id="6"/>
      <w:r w:rsidRPr="00970B45">
        <w:rPr>
          <w:rFonts w:ascii="Arial" w:eastAsiaTheme="minorHAnsi" w:hAnsi="Arial" w:cs="Arial"/>
          <w:noProof/>
          <w:sz w:val="20"/>
          <w:szCs w:val="20"/>
          <w:lang w:val="sl-SI"/>
        </w:rPr>
        <w:t xml:space="preserve"> </w:t>
      </w:r>
    </w:p>
    <w:p w:rsidR="00970B45" w:rsidRPr="00970B45" w:rsidRDefault="00970B45" w:rsidP="00970B45">
      <w:pPr>
        <w:rPr>
          <w:rFonts w:cs="Arial"/>
          <w:noProof/>
          <w:szCs w:val="20"/>
          <w:lang w:val="sl-SI"/>
        </w:rPr>
      </w:pPr>
    </w:p>
    <w:p w:rsidR="00970B45" w:rsidRPr="00970B45" w:rsidRDefault="00970B45" w:rsidP="00970B45">
      <w:pPr>
        <w:jc w:val="both"/>
        <w:rPr>
          <w:rFonts w:eastAsiaTheme="minorHAnsi" w:cs="Arial"/>
          <w:noProof/>
          <w:szCs w:val="20"/>
          <w:lang w:val="sl-SI"/>
        </w:rPr>
      </w:pPr>
      <w:r w:rsidRPr="00970B45">
        <w:rPr>
          <w:rFonts w:eastAsiaTheme="minorHAnsi" w:cs="Arial"/>
          <w:b/>
          <w:noProof/>
          <w:szCs w:val="20"/>
          <w:lang w:val="sl-SI"/>
        </w:rPr>
        <w:t>Splošni zastaralnih roki se nadaljnje delijo</w:t>
      </w:r>
      <w:r w:rsidRPr="00970B45">
        <w:rPr>
          <w:rFonts w:eastAsiaTheme="minorHAnsi" w:cs="Arial"/>
          <w:noProof/>
          <w:szCs w:val="20"/>
          <w:lang w:val="sl-SI"/>
        </w:rPr>
        <w:t xml:space="preserve"> še na : </w:t>
      </w:r>
    </w:p>
    <w:p w:rsidR="00970B45" w:rsidRPr="00970B45" w:rsidRDefault="00970B45" w:rsidP="00970B45">
      <w:pPr>
        <w:numPr>
          <w:ilvl w:val="0"/>
          <w:numId w:val="9"/>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relativne zastaralne roke in </w:t>
      </w:r>
    </w:p>
    <w:p w:rsidR="00970B45" w:rsidRPr="00970B45" w:rsidRDefault="00970B45" w:rsidP="00970B45">
      <w:pPr>
        <w:numPr>
          <w:ilvl w:val="0"/>
          <w:numId w:val="9"/>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absolutne zastaralne roke. </w:t>
      </w:r>
    </w:p>
    <w:p w:rsidR="00970B45" w:rsidRPr="00970B45" w:rsidRDefault="00970B45" w:rsidP="00970B45">
      <w:pPr>
        <w:ind w:left="720"/>
        <w:contextualSpacing/>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Začetek teka zastaranja pravice do odmere davka je vezan na potek rokov za opravila, ki jih je treba opraviti v zakonitih rokih po nastanku davčne obveznosti, kot na primer obračun davka ali odtegnitev davka.</w:t>
      </w:r>
    </w:p>
    <w:p w:rsidR="00970B45" w:rsidRPr="00970B45" w:rsidRDefault="00970B45" w:rsidP="00970B45">
      <w:pPr>
        <w:jc w:val="both"/>
        <w:rPr>
          <w:rFonts w:eastAsiaTheme="minorHAnsi" w:cs="Arial"/>
          <w:noProof/>
          <w:szCs w:val="20"/>
          <w:lang w:val="sl-SI"/>
        </w:rPr>
      </w:pPr>
      <w:r w:rsidRPr="00970B45">
        <w:rPr>
          <w:rFonts w:cs="Arial"/>
          <w:noProof/>
          <w:color w:val="292B2C"/>
          <w:szCs w:val="20"/>
          <w:lang w:val="sl-SI" w:eastAsia="sl-SI"/>
        </w:rPr>
        <w:t xml:space="preserve">ZDavP-2 v prvem odstavku 125. člena opredeli </w:t>
      </w:r>
      <w:r w:rsidRPr="00970B45">
        <w:rPr>
          <w:rFonts w:cs="Arial"/>
          <w:b/>
          <w:noProof/>
          <w:color w:val="292B2C"/>
          <w:szCs w:val="20"/>
          <w:lang w:val="sl-SI" w:eastAsia="sl-SI"/>
        </w:rPr>
        <w:t>relativni zastaralni rok,</w:t>
      </w:r>
      <w:r w:rsidRPr="00970B45">
        <w:rPr>
          <w:rFonts w:cs="Arial"/>
          <w:noProof/>
          <w:color w:val="292B2C"/>
          <w:szCs w:val="20"/>
          <w:lang w:val="sl-SI" w:eastAsia="sl-SI"/>
        </w:rPr>
        <w:t xml:space="preserve"> in sicer določa, da pravica do odmere davka zastara v petih letih od dneva, ko bi bilo treba davek napovedati, obračunati, odtegniti in odmeriti.</w:t>
      </w:r>
    </w:p>
    <w:p w:rsidR="00970B45" w:rsidRPr="00970B45" w:rsidRDefault="00970B45" w:rsidP="00970B45">
      <w:pPr>
        <w:jc w:val="both"/>
        <w:rPr>
          <w:rFonts w:eastAsiaTheme="minorHAnsi" w:cs="Arial"/>
          <w:noProof/>
          <w:color w:val="292B2C"/>
          <w:szCs w:val="20"/>
          <w:shd w:val="clear" w:color="auto" w:fill="FFFFFF"/>
          <w:lang w:val="sl-SI"/>
        </w:rPr>
      </w:pPr>
      <w:r w:rsidRPr="00970B45">
        <w:rPr>
          <w:rFonts w:eastAsiaTheme="minorHAnsi" w:cs="Arial"/>
          <w:noProof/>
          <w:szCs w:val="20"/>
          <w:lang w:val="sl-SI"/>
        </w:rPr>
        <w:t xml:space="preserve">V šestem odstavku 126. člena ZDavP-2 pa je opredeljen </w:t>
      </w:r>
      <w:r w:rsidRPr="00970B45">
        <w:rPr>
          <w:rFonts w:eastAsiaTheme="minorHAnsi" w:cs="Arial"/>
          <w:b/>
          <w:noProof/>
          <w:szCs w:val="20"/>
          <w:lang w:val="sl-SI"/>
        </w:rPr>
        <w:t>absolutni  zastaralni rok,</w:t>
      </w:r>
      <w:r w:rsidRPr="00970B45">
        <w:rPr>
          <w:rFonts w:eastAsiaTheme="minorHAnsi" w:cs="Arial"/>
          <w:noProof/>
          <w:szCs w:val="20"/>
          <w:lang w:val="sl-SI"/>
        </w:rPr>
        <w:t xml:space="preserve"> in sicer določa, da n</w:t>
      </w:r>
      <w:r w:rsidRPr="00970B45">
        <w:rPr>
          <w:rFonts w:eastAsiaTheme="minorHAnsi" w:cs="Arial"/>
          <w:noProof/>
          <w:color w:val="292B2C"/>
          <w:szCs w:val="20"/>
          <w:shd w:val="clear" w:color="auto" w:fill="FFFFFF"/>
          <w:lang w:val="sl-SI"/>
        </w:rPr>
        <w:t>e glede na določbe o zastaranju pravice do odmere in izterjave, davčna obveznost preneha, ko poteče deset let od dneva, ko je prvič začelo teči, razen če je bilo zastaranje pravice do izterjave zadržano. V tem primeru se čas zadržanja ne šteje v čas zastaralnega roka.</w:t>
      </w:r>
    </w:p>
    <w:p w:rsidR="00970B45" w:rsidRPr="00970B45" w:rsidRDefault="00970B45" w:rsidP="00970B45">
      <w:pPr>
        <w:pStyle w:val="Naslov2"/>
        <w:numPr>
          <w:ilvl w:val="1"/>
          <w:numId w:val="7"/>
        </w:numPr>
        <w:spacing w:before="360" w:line="259" w:lineRule="auto"/>
        <w:rPr>
          <w:rFonts w:ascii="Arial" w:eastAsiaTheme="minorHAnsi" w:hAnsi="Arial" w:cs="Arial"/>
          <w:noProof/>
          <w:sz w:val="20"/>
          <w:szCs w:val="20"/>
          <w:lang w:val="sl-SI"/>
        </w:rPr>
      </w:pPr>
      <w:r w:rsidRPr="00970B45">
        <w:rPr>
          <w:rFonts w:ascii="Arial" w:eastAsiaTheme="minorHAnsi" w:hAnsi="Arial" w:cs="Arial"/>
          <w:noProof/>
          <w:sz w:val="20"/>
          <w:szCs w:val="20"/>
          <w:lang w:val="sl-SI"/>
        </w:rPr>
        <w:t xml:space="preserve"> </w:t>
      </w:r>
      <w:bookmarkStart w:id="7" w:name="_Toc178228157"/>
      <w:r w:rsidRPr="00970B45">
        <w:rPr>
          <w:rFonts w:ascii="Arial" w:eastAsiaTheme="minorHAnsi" w:hAnsi="Arial" w:cs="Arial"/>
          <w:noProof/>
          <w:sz w:val="20"/>
          <w:szCs w:val="20"/>
          <w:lang w:val="sl-SI"/>
        </w:rPr>
        <w:t>Posebni zastaralni roki</w:t>
      </w:r>
      <w:bookmarkEnd w:id="7"/>
      <w:r w:rsidRPr="00970B45">
        <w:rPr>
          <w:rFonts w:ascii="Arial" w:eastAsiaTheme="minorHAnsi" w:hAnsi="Arial" w:cs="Arial"/>
          <w:noProof/>
          <w:sz w:val="20"/>
          <w:szCs w:val="20"/>
          <w:lang w:val="sl-SI"/>
        </w:rPr>
        <w:t xml:space="preserve"> </w:t>
      </w:r>
    </w:p>
    <w:p w:rsidR="00970B45" w:rsidRPr="00970B45" w:rsidRDefault="00970B45" w:rsidP="00970B45">
      <w:pPr>
        <w:jc w:val="both"/>
        <w:rPr>
          <w:rFonts w:eastAsiaTheme="minorHAnsi" w:cs="Arial"/>
          <w:b/>
          <w:noProof/>
          <w:szCs w:val="20"/>
          <w:lang w:val="sl-SI"/>
        </w:rPr>
      </w:pPr>
    </w:p>
    <w:p w:rsidR="00970B45" w:rsidRPr="00970B45" w:rsidRDefault="00970B45" w:rsidP="00970B45">
      <w:pPr>
        <w:jc w:val="both"/>
        <w:rPr>
          <w:rFonts w:eastAsiaTheme="minorHAnsi" w:cs="Arial"/>
          <w:noProof/>
          <w:szCs w:val="20"/>
          <w:lang w:val="sl-SI"/>
        </w:rPr>
      </w:pPr>
      <w:r w:rsidRPr="00970B45">
        <w:rPr>
          <w:rFonts w:eastAsiaTheme="minorHAnsi" w:cs="Arial"/>
          <w:b/>
          <w:noProof/>
          <w:szCs w:val="20"/>
          <w:lang w:val="sl-SI"/>
        </w:rPr>
        <w:t>Posebni roki pa veljajo za posamezne davke,</w:t>
      </w:r>
      <w:r w:rsidRPr="00970B45">
        <w:rPr>
          <w:rFonts w:eastAsiaTheme="minorHAnsi" w:cs="Arial"/>
          <w:noProof/>
          <w:szCs w:val="20"/>
          <w:lang w:val="sl-SI"/>
        </w:rPr>
        <w:t xml:space="preserve"> in sicer:</w:t>
      </w:r>
    </w:p>
    <w:p w:rsidR="00970B45" w:rsidRPr="00970B45" w:rsidRDefault="00970B45" w:rsidP="00970B45">
      <w:pPr>
        <w:numPr>
          <w:ilvl w:val="0"/>
          <w:numId w:val="8"/>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davek na promet nepremičnin, </w:t>
      </w:r>
    </w:p>
    <w:p w:rsidR="00970B45" w:rsidRPr="00970B45" w:rsidRDefault="00970B45" w:rsidP="00970B45">
      <w:pPr>
        <w:numPr>
          <w:ilvl w:val="0"/>
          <w:numId w:val="8"/>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davek na darila, </w:t>
      </w:r>
    </w:p>
    <w:p w:rsidR="00970B45" w:rsidRPr="00970B45" w:rsidRDefault="00970B45" w:rsidP="00970B45">
      <w:pPr>
        <w:numPr>
          <w:ilvl w:val="0"/>
          <w:numId w:val="8"/>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davek na dediščine, </w:t>
      </w:r>
    </w:p>
    <w:p w:rsidR="00970B45" w:rsidRPr="00970B45" w:rsidRDefault="00970B45" w:rsidP="00970B45">
      <w:pPr>
        <w:numPr>
          <w:ilvl w:val="0"/>
          <w:numId w:val="8"/>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davek na nenapovedane dohodke. </w:t>
      </w:r>
    </w:p>
    <w:p w:rsidR="00970B45" w:rsidRPr="00970B45" w:rsidRDefault="00970B45" w:rsidP="00970B45">
      <w:pPr>
        <w:ind w:left="360"/>
        <w:jc w:val="both"/>
        <w:rPr>
          <w:rFonts w:eastAsiaTheme="minorHAnsi" w:cs="Arial"/>
          <w:noProof/>
          <w:szCs w:val="20"/>
          <w:lang w:val="sl-SI"/>
        </w:rPr>
      </w:pPr>
    </w:p>
    <w:p w:rsidR="00970B45" w:rsidRPr="00970B45" w:rsidRDefault="00970B45" w:rsidP="00970B45">
      <w:pPr>
        <w:pStyle w:val="Naslov3"/>
        <w:numPr>
          <w:ilvl w:val="2"/>
          <w:numId w:val="7"/>
        </w:numPr>
        <w:spacing w:before="200" w:line="259" w:lineRule="auto"/>
        <w:rPr>
          <w:rFonts w:ascii="Arial" w:eastAsiaTheme="minorHAnsi" w:hAnsi="Arial" w:cs="Arial"/>
          <w:noProof/>
          <w:sz w:val="20"/>
          <w:szCs w:val="20"/>
          <w:u w:val="single"/>
          <w:lang w:val="sl-SI"/>
        </w:rPr>
      </w:pPr>
      <w:r w:rsidRPr="00970B45">
        <w:rPr>
          <w:rFonts w:ascii="Arial" w:eastAsiaTheme="minorHAnsi" w:hAnsi="Arial" w:cs="Arial"/>
          <w:noProof/>
          <w:sz w:val="20"/>
          <w:szCs w:val="20"/>
          <w:lang w:val="sl-SI"/>
        </w:rPr>
        <w:t xml:space="preserve">  </w:t>
      </w:r>
      <w:bookmarkStart w:id="8" w:name="_Toc178228158"/>
      <w:r w:rsidRPr="00970B45">
        <w:rPr>
          <w:rFonts w:ascii="Arial" w:eastAsiaTheme="minorHAnsi" w:hAnsi="Arial" w:cs="Arial"/>
          <w:noProof/>
          <w:sz w:val="20"/>
          <w:szCs w:val="20"/>
          <w:u w:val="single"/>
          <w:lang w:val="sl-SI"/>
        </w:rPr>
        <w:t>Zastaranje odmere davka na promet nepremičnin in davka na darila in zastaranje odmere davka na dediščine in darila</w:t>
      </w:r>
      <w:bookmarkEnd w:id="8"/>
    </w:p>
    <w:p w:rsidR="00970B45" w:rsidRPr="00970B45" w:rsidRDefault="00970B45" w:rsidP="00970B45">
      <w:pPr>
        <w:rPr>
          <w:rFonts w:cs="Arial"/>
          <w:noProof/>
          <w:szCs w:val="20"/>
          <w:lang w:val="sl-SI"/>
        </w:rPr>
      </w:pPr>
    </w:p>
    <w:p w:rsidR="00970B45" w:rsidRPr="00970B45" w:rsidRDefault="00970B45" w:rsidP="00970B45">
      <w:pPr>
        <w:jc w:val="both"/>
        <w:rPr>
          <w:rFonts w:eastAsiaTheme="minorHAnsi" w:cs="Arial"/>
          <w:noProof/>
          <w:szCs w:val="20"/>
          <w:u w:val="single"/>
          <w:shd w:val="clear" w:color="auto" w:fill="FFFFFF"/>
          <w:lang w:val="sl-SI"/>
        </w:rPr>
      </w:pPr>
      <w:r w:rsidRPr="00970B45">
        <w:rPr>
          <w:rFonts w:eastAsiaTheme="minorHAnsi" w:cs="Arial"/>
          <w:noProof/>
          <w:szCs w:val="20"/>
          <w:lang w:val="sl-SI"/>
        </w:rPr>
        <w:t xml:space="preserve">Davek na promet nepremičnin ureja </w:t>
      </w:r>
      <w:hyperlink r:id="rId9" w:history="1">
        <w:r w:rsidRPr="00970B45">
          <w:rPr>
            <w:rFonts w:eastAsiaTheme="minorHAnsi" w:cs="Arial"/>
            <w:noProof/>
            <w:color w:val="0000FF" w:themeColor="hyperlink"/>
            <w:szCs w:val="20"/>
            <w:u w:val="single"/>
            <w:lang w:val="sl-SI"/>
          </w:rPr>
          <w:t>Zakon o davku na promet nepremičnin</w:t>
        </w:r>
      </w:hyperlink>
      <w:r w:rsidRPr="00970B45">
        <w:rPr>
          <w:rFonts w:eastAsiaTheme="minorHAnsi" w:cs="Arial"/>
          <w:noProof/>
          <w:color w:val="0000FF" w:themeColor="hyperlink"/>
          <w:szCs w:val="20"/>
          <w:u w:val="single"/>
          <w:lang w:val="sl-SI"/>
        </w:rPr>
        <w:t>,</w:t>
      </w:r>
      <w:r w:rsidRPr="00970B45">
        <w:rPr>
          <w:rFonts w:eastAsiaTheme="minorHAnsi" w:cs="Arial"/>
          <w:noProof/>
          <w:szCs w:val="20"/>
          <w:lang w:val="sl-SI"/>
        </w:rPr>
        <w:t xml:space="preserve"> zastaranje navedenega davka pa je urejeno v ZDavP-2, in sicer v drugem odstavku 125. člena, ki določa, da p</w:t>
      </w:r>
      <w:r w:rsidRPr="00970B45">
        <w:rPr>
          <w:rFonts w:eastAsiaTheme="minorHAnsi" w:cs="Arial"/>
          <w:noProof/>
          <w:color w:val="292B2C"/>
          <w:szCs w:val="20"/>
          <w:u w:val="single"/>
          <w:shd w:val="clear" w:color="auto" w:fill="FFFFFF"/>
          <w:lang w:val="sl-SI"/>
        </w:rPr>
        <w:t>ravica do odmere davka na promet nepremičnin in davka na darilo zastara v desetih letih od dneva, ko bi bilo treba davek napovedati.</w:t>
      </w:r>
      <w:r w:rsidRPr="00970B45">
        <w:rPr>
          <w:rFonts w:eastAsiaTheme="minorHAnsi" w:cs="Arial"/>
          <w:noProof/>
          <w:color w:val="292B2C"/>
          <w:szCs w:val="20"/>
          <w:shd w:val="clear" w:color="auto" w:fill="FFFFFF"/>
          <w:lang w:val="sl-SI"/>
        </w:rPr>
        <w:t xml:space="preserve"> </w:t>
      </w:r>
      <w:r w:rsidRPr="00970B45">
        <w:rPr>
          <w:rFonts w:eastAsiaTheme="minorHAnsi" w:cs="Arial"/>
          <w:noProof/>
          <w:szCs w:val="20"/>
          <w:lang w:val="sl-SI"/>
        </w:rPr>
        <w:t xml:space="preserve">Davek na dediščine ureja </w:t>
      </w:r>
      <w:hyperlink r:id="rId10" w:history="1">
        <w:r w:rsidRPr="00970B45">
          <w:rPr>
            <w:rFonts w:eastAsiaTheme="minorHAnsi" w:cs="Arial"/>
            <w:noProof/>
            <w:color w:val="0000FF" w:themeColor="hyperlink"/>
            <w:szCs w:val="20"/>
            <w:u w:val="single"/>
            <w:lang w:val="sl-SI"/>
          </w:rPr>
          <w:t>Zakon o davku na dediščine in darila</w:t>
        </w:r>
      </w:hyperlink>
      <w:r w:rsidRPr="00970B45">
        <w:rPr>
          <w:rFonts w:eastAsiaTheme="minorHAnsi" w:cs="Arial"/>
          <w:noProof/>
          <w:szCs w:val="20"/>
          <w:lang w:val="sl-SI"/>
        </w:rPr>
        <w:t>, zastaranje navedenega davka pa je urejeno v ZDavP-2, in sicer v drugem odstavku 125. člena, ki določa, da p</w:t>
      </w:r>
      <w:r w:rsidRPr="00970B45">
        <w:rPr>
          <w:rFonts w:eastAsiaTheme="minorHAnsi" w:cs="Arial"/>
          <w:noProof/>
          <w:szCs w:val="20"/>
          <w:shd w:val="clear" w:color="auto" w:fill="FFFFFF"/>
          <w:lang w:val="sl-SI"/>
        </w:rPr>
        <w:t xml:space="preserve">ravica do odmere davka </w:t>
      </w:r>
      <w:r w:rsidRPr="00970B45">
        <w:rPr>
          <w:rFonts w:eastAsiaTheme="minorHAnsi" w:cs="Arial"/>
          <w:noProof/>
          <w:szCs w:val="20"/>
          <w:u w:val="single"/>
          <w:shd w:val="clear" w:color="auto" w:fill="FFFFFF"/>
          <w:lang w:val="sl-SI"/>
        </w:rPr>
        <w:t>na dediščine zastara v desetih letih od pravnomočnosti sklepa o dedovanju.</w:t>
      </w:r>
    </w:p>
    <w:p w:rsidR="00970B45" w:rsidRPr="00970B45" w:rsidRDefault="00970B45" w:rsidP="00970B45">
      <w:pPr>
        <w:jc w:val="both"/>
        <w:rPr>
          <w:rFonts w:eastAsiaTheme="minorHAnsi" w:cs="Arial"/>
          <w:noProof/>
          <w:color w:val="292B2C"/>
          <w:szCs w:val="20"/>
          <w:shd w:val="clear" w:color="auto" w:fill="FFFFFF"/>
          <w:lang w:val="sl-SI"/>
        </w:rPr>
      </w:pPr>
      <w:r w:rsidRPr="00970B45">
        <w:rPr>
          <w:rFonts w:eastAsiaTheme="minorHAnsi" w:cs="Arial"/>
          <w:noProof/>
          <w:color w:val="292B2C"/>
          <w:szCs w:val="20"/>
          <w:shd w:val="clear" w:color="auto" w:fill="FFFFFF"/>
          <w:lang w:val="sl-SI"/>
        </w:rPr>
        <w:lastRenderedPageBreak/>
        <w:t xml:space="preserve">Pri tem zastaranju velja samo </w:t>
      </w:r>
      <w:r w:rsidRPr="00970B45">
        <w:rPr>
          <w:rFonts w:eastAsiaTheme="minorHAnsi" w:cs="Arial"/>
          <w:noProof/>
          <w:szCs w:val="20"/>
          <w:lang w:val="sl-SI"/>
        </w:rPr>
        <w:t xml:space="preserve">absolutni zastaralni rok, saj sta relativni in absolutni zastaralni rok izenačena. </w:t>
      </w:r>
    </w:p>
    <w:p w:rsidR="00970B45" w:rsidRPr="00970B45" w:rsidRDefault="00970B45" w:rsidP="00970B45">
      <w:pPr>
        <w:pStyle w:val="Naslov3"/>
        <w:numPr>
          <w:ilvl w:val="2"/>
          <w:numId w:val="7"/>
        </w:numPr>
        <w:spacing w:before="200" w:line="259" w:lineRule="auto"/>
        <w:contextualSpacing/>
        <w:jc w:val="both"/>
        <w:rPr>
          <w:rFonts w:ascii="Arial" w:eastAsiaTheme="minorHAnsi" w:hAnsi="Arial" w:cs="Arial"/>
          <w:noProof/>
          <w:sz w:val="20"/>
          <w:szCs w:val="20"/>
          <w:u w:val="single"/>
          <w:lang w:val="sl-SI"/>
        </w:rPr>
      </w:pPr>
      <w:bookmarkStart w:id="9" w:name="_Toc178228159"/>
      <w:r w:rsidRPr="00970B45">
        <w:rPr>
          <w:rFonts w:ascii="Arial" w:eastAsiaTheme="minorHAnsi" w:hAnsi="Arial" w:cs="Arial"/>
          <w:noProof/>
          <w:sz w:val="20"/>
          <w:szCs w:val="20"/>
          <w:u w:val="single"/>
          <w:lang w:val="sl-SI"/>
        </w:rPr>
        <w:t>Zastaranje odmere davka na nenapovedane dohodke</w:t>
      </w:r>
      <w:bookmarkEnd w:id="9"/>
      <w:r w:rsidRPr="00970B45">
        <w:rPr>
          <w:rFonts w:ascii="Arial" w:eastAsiaTheme="minorHAnsi" w:hAnsi="Arial" w:cs="Arial"/>
          <w:noProof/>
          <w:sz w:val="20"/>
          <w:szCs w:val="20"/>
          <w:u w:val="single"/>
          <w:lang w:val="sl-SI"/>
        </w:rPr>
        <w:t xml:space="preserve"> </w:t>
      </w:r>
      <w:bookmarkStart w:id="10" w:name="_Toc178228160"/>
      <w:bookmarkEnd w:id="10"/>
    </w:p>
    <w:p w:rsidR="00970B45" w:rsidRPr="00970B45" w:rsidRDefault="00970B45" w:rsidP="00970B45">
      <w:pPr>
        <w:rPr>
          <w:noProof/>
          <w:lang w:val="sl-SI"/>
        </w:rPr>
      </w:pPr>
    </w:p>
    <w:p w:rsidR="00970B45" w:rsidRPr="00970B45" w:rsidRDefault="00970B45" w:rsidP="00970B45">
      <w:pPr>
        <w:contextualSpacing/>
        <w:jc w:val="both"/>
        <w:rPr>
          <w:rFonts w:eastAsiaTheme="minorHAnsi" w:cs="Arial"/>
          <w:noProof/>
          <w:szCs w:val="20"/>
          <w:lang w:val="sl-SI"/>
        </w:rPr>
      </w:pPr>
      <w:r w:rsidRPr="00970B45">
        <w:rPr>
          <w:rFonts w:eastAsiaTheme="minorHAnsi" w:cs="Arial"/>
          <w:noProof/>
          <w:szCs w:val="20"/>
          <w:lang w:val="sl-SI"/>
        </w:rPr>
        <w:t>Odmero davka od nenapovedanih dohodkov ureja 68.a člen Zakona o davčnem postopku. Davek se odmeri, če davčni zavezanec – fizična oseba, razpolaga s sredstvi za privatno potrošnjo, vključno s premoženjem, ki znatno presegajo dohodke, ki jih je davčni zavezanec napovedal. Postopek se lahko uvede za eno ali več koledarskih let v obdobju zadnjih desetih let pred letom, v katerem je bil uveden (npr. če se uvede do 31.7.2024, je mogoča odmera še za leto 2014 in se lahko nadzor ter odmera opravi za obdobje od 2014 do 2023).</w:t>
      </w:r>
    </w:p>
    <w:p w:rsidR="00970B45" w:rsidRPr="00970B45" w:rsidRDefault="00970B45" w:rsidP="00970B45">
      <w:pPr>
        <w:contextualSpacing/>
        <w:jc w:val="both"/>
        <w:rPr>
          <w:rFonts w:eastAsiaTheme="minorHAnsi" w:cs="Arial"/>
          <w:noProof/>
          <w:szCs w:val="20"/>
          <w:lang w:val="sl-SI"/>
        </w:rPr>
      </w:pPr>
    </w:p>
    <w:p w:rsidR="00970B45" w:rsidRPr="00970B45" w:rsidRDefault="00970B45" w:rsidP="00970B45">
      <w:pPr>
        <w:contextualSpacing/>
        <w:jc w:val="both"/>
        <w:rPr>
          <w:rFonts w:eastAsiaTheme="minorHAnsi" w:cs="Arial"/>
          <w:noProof/>
          <w:szCs w:val="20"/>
          <w:lang w:val="sl-SI"/>
        </w:rPr>
      </w:pPr>
      <w:r w:rsidRPr="00970B45">
        <w:rPr>
          <w:rFonts w:eastAsiaTheme="minorHAnsi" w:cs="Arial"/>
          <w:noProof/>
          <w:szCs w:val="20"/>
          <w:lang w:val="sl-SI"/>
        </w:rPr>
        <w:t>Gre za posebno vrsto davka (podvrsto dohodnine), zato je izključeno uveljavljanje ugovora (relativnega in absolutnega) zastaranja pravice do odmere davka od posameznih dohodkov, ampak je lahko predmet ugovora (absolutnega) zastaranja (le) davek kot celota. To pomeni, da (absolutno) zastaranje ne teče za posamezno leto, zajeto v okviru obdobja odmere davka od nenapovedanih dohodkov, temveč je zastaranje vezano na celotno obdobje in prične teči šele po poteku tega obdobja, t.j. s 1. 8. naslednjega koledarskega leta.</w:t>
      </w:r>
    </w:p>
    <w:p w:rsidR="00970B45" w:rsidRPr="00970B45" w:rsidRDefault="00970B45" w:rsidP="00970B45">
      <w:pPr>
        <w:contextualSpacing/>
        <w:jc w:val="both"/>
        <w:rPr>
          <w:rFonts w:eastAsiaTheme="minorHAnsi" w:cs="Arial"/>
          <w:noProof/>
          <w:szCs w:val="20"/>
          <w:lang w:val="sl-SI"/>
        </w:rPr>
      </w:pPr>
    </w:p>
    <w:tbl>
      <w:tblPr>
        <w:tblStyle w:val="Tabelamrea"/>
        <w:tblW w:w="0" w:type="auto"/>
        <w:tblLook w:val="04A0" w:firstRow="1" w:lastRow="0" w:firstColumn="1" w:lastColumn="0" w:noHBand="0" w:noVBand="1"/>
      </w:tblPr>
      <w:tblGrid>
        <w:gridCol w:w="8921"/>
      </w:tblGrid>
      <w:tr w:rsidR="00970B45" w:rsidRPr="00970B45" w:rsidTr="008147A6">
        <w:tc>
          <w:tcPr>
            <w:tcW w:w="9062" w:type="dxa"/>
          </w:tcPr>
          <w:p w:rsidR="00970B45" w:rsidRPr="00970B45" w:rsidRDefault="00970B45" w:rsidP="008147A6">
            <w:pPr>
              <w:contextualSpacing/>
              <w:jc w:val="both"/>
              <w:rPr>
                <w:rFonts w:eastAsiaTheme="minorHAnsi" w:cs="Arial"/>
                <w:b/>
                <w:noProof/>
                <w:sz w:val="20"/>
                <w:szCs w:val="20"/>
                <w:lang w:val="sl-SI"/>
              </w:rPr>
            </w:pPr>
          </w:p>
          <w:p w:rsidR="00970B45" w:rsidRPr="00970B45" w:rsidRDefault="00970B45" w:rsidP="008147A6">
            <w:pPr>
              <w:contextualSpacing/>
              <w:jc w:val="both"/>
              <w:rPr>
                <w:rFonts w:eastAsiaTheme="minorHAnsi" w:cs="Arial"/>
                <w:noProof/>
                <w:sz w:val="20"/>
                <w:szCs w:val="20"/>
                <w:lang w:val="sl-SI"/>
              </w:rPr>
            </w:pPr>
            <w:r w:rsidRPr="00970B45">
              <w:rPr>
                <w:rFonts w:eastAsiaTheme="minorHAnsi" w:cs="Arial"/>
                <w:b/>
                <w:noProof/>
                <w:sz w:val="20"/>
                <w:szCs w:val="20"/>
                <w:lang w:val="sl-SI"/>
              </w:rPr>
              <w:t>Primer:</w:t>
            </w:r>
            <w:r w:rsidRPr="00970B45">
              <w:rPr>
                <w:rFonts w:eastAsiaTheme="minorHAnsi" w:cs="Arial"/>
                <w:noProof/>
                <w:sz w:val="20"/>
                <w:szCs w:val="20"/>
                <w:lang w:val="sl-SI"/>
              </w:rPr>
              <w:t xml:space="preserve"> </w:t>
            </w:r>
          </w:p>
          <w:p w:rsidR="00970B45" w:rsidRPr="00970B45" w:rsidRDefault="00970B45" w:rsidP="008147A6">
            <w:pPr>
              <w:contextualSpacing/>
              <w:jc w:val="both"/>
              <w:rPr>
                <w:rFonts w:eastAsiaTheme="minorHAnsi" w:cs="Arial"/>
                <w:noProof/>
                <w:sz w:val="20"/>
                <w:szCs w:val="20"/>
                <w:lang w:val="sl-SI"/>
              </w:rPr>
            </w:pPr>
            <w:r w:rsidRPr="00970B45">
              <w:rPr>
                <w:rFonts w:eastAsiaTheme="minorHAnsi" w:cs="Arial"/>
                <w:noProof/>
                <w:sz w:val="20"/>
                <w:szCs w:val="20"/>
                <w:lang w:val="sl-SI"/>
              </w:rPr>
              <w:t>Če se v letu 2021 začne nadzor pri zavezancu A za obdobje od 2012 do 2016, pri zavezancu B pa za obdobje od 2012 do 2018, zastaranje za celotno obdobje (ki vključuje tudi leto 2012) poteče pri zavezancu A dne 31. 7. 2027, pri zavezancu B pa 31. 7. 2029.</w:t>
            </w:r>
          </w:p>
          <w:p w:rsidR="00970B45" w:rsidRPr="00970B45" w:rsidRDefault="00970B45" w:rsidP="008147A6">
            <w:pPr>
              <w:contextualSpacing/>
              <w:jc w:val="both"/>
              <w:rPr>
                <w:rFonts w:eastAsiaTheme="minorHAnsi" w:cs="Arial"/>
                <w:noProof/>
                <w:sz w:val="20"/>
                <w:szCs w:val="20"/>
                <w:lang w:val="sl-SI"/>
              </w:rPr>
            </w:pPr>
          </w:p>
        </w:tc>
      </w:tr>
    </w:tbl>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u w:val="single"/>
        </w:rPr>
      </w:pPr>
      <w:bookmarkStart w:id="11" w:name="_Toc178228161"/>
      <w:r w:rsidRPr="00970B45">
        <w:rPr>
          <w:rFonts w:eastAsiaTheme="minorHAnsi" w:cs="Arial"/>
          <w:noProof/>
          <w:sz w:val="20"/>
          <w:szCs w:val="20"/>
        </w:rPr>
        <w:t>Zastaranje pravice do izterjave</w:t>
      </w:r>
      <w:bookmarkEnd w:id="11"/>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Če davek ni plačan v roku, se začne postopek davčne izvršbe, ki predstavlja ukrep prisilne izterjave.</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Pravica do izterjave davka je časovno omejena, in sicer zakon določa dva zastaralna roka:</w:t>
      </w:r>
    </w:p>
    <w:p w:rsidR="00970B45" w:rsidRPr="00970B45" w:rsidRDefault="00970B45" w:rsidP="00970B45">
      <w:pPr>
        <w:pStyle w:val="Odstavekseznama"/>
        <w:numPr>
          <w:ilvl w:val="0"/>
          <w:numId w:val="8"/>
        </w:numPr>
        <w:jc w:val="both"/>
        <w:rPr>
          <w:rFonts w:ascii="Arial" w:eastAsiaTheme="minorHAnsi" w:hAnsi="Arial" w:cs="Arial"/>
          <w:noProof/>
          <w:sz w:val="20"/>
          <w:szCs w:val="20"/>
        </w:rPr>
      </w:pPr>
      <w:r w:rsidRPr="00970B45">
        <w:rPr>
          <w:rFonts w:ascii="Arial" w:eastAsiaTheme="minorHAnsi" w:hAnsi="Arial" w:cs="Arial"/>
          <w:noProof/>
          <w:sz w:val="20"/>
          <w:szCs w:val="20"/>
          <w:u w:val="single"/>
        </w:rPr>
        <w:t>pet letni relativni zastaralni rok</w:t>
      </w:r>
      <w:r w:rsidRPr="00970B45">
        <w:rPr>
          <w:rFonts w:ascii="Arial" w:eastAsiaTheme="minorHAnsi" w:hAnsi="Arial" w:cs="Arial"/>
          <w:noProof/>
          <w:sz w:val="20"/>
          <w:szCs w:val="20"/>
        </w:rPr>
        <w:t xml:space="preserve"> (tretji odstavek 125. člena ZDavP-2), </w:t>
      </w:r>
    </w:p>
    <w:p w:rsidR="00970B45" w:rsidRPr="00970B45" w:rsidRDefault="00970B45" w:rsidP="00970B45">
      <w:pPr>
        <w:pStyle w:val="Odstavekseznama"/>
        <w:numPr>
          <w:ilvl w:val="0"/>
          <w:numId w:val="8"/>
        </w:numPr>
        <w:jc w:val="both"/>
        <w:rPr>
          <w:rFonts w:ascii="Arial" w:eastAsiaTheme="minorHAnsi" w:hAnsi="Arial" w:cs="Arial"/>
          <w:noProof/>
          <w:sz w:val="20"/>
          <w:szCs w:val="20"/>
        </w:rPr>
      </w:pPr>
      <w:r w:rsidRPr="00970B45">
        <w:rPr>
          <w:rFonts w:ascii="Arial" w:eastAsiaTheme="minorHAnsi" w:hAnsi="Arial" w:cs="Arial"/>
          <w:noProof/>
          <w:sz w:val="20"/>
          <w:szCs w:val="20"/>
          <w:u w:val="single"/>
        </w:rPr>
        <w:t>deset letni absolutni zastaralni rok</w:t>
      </w:r>
      <w:r w:rsidRPr="00970B45">
        <w:rPr>
          <w:rFonts w:ascii="Arial" w:eastAsiaTheme="minorHAnsi" w:hAnsi="Arial" w:cs="Arial"/>
          <w:noProof/>
          <w:sz w:val="20"/>
          <w:szCs w:val="20"/>
        </w:rPr>
        <w:t xml:space="preserve"> (šesti odstavek 126. člena ZDavP-2).</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Zastaranje pravice do izterjave začne teči od dneva, ko bi bilo treba davek plačati, to je naslednji dan po roku za plačilo</w:t>
      </w:r>
      <w:r w:rsidRPr="00970B45">
        <w:rPr>
          <w:rStyle w:val="Sprotnaopomba-sklic"/>
          <w:rFonts w:eastAsiaTheme="minorHAnsi" w:cs="Arial"/>
          <w:noProof/>
          <w:szCs w:val="20"/>
          <w:lang w:val="sl-SI"/>
        </w:rPr>
        <w:footnoteReference w:id="10"/>
      </w:r>
      <w:r w:rsidRPr="00970B45">
        <w:rPr>
          <w:rFonts w:eastAsiaTheme="minorHAnsi" w:cs="Arial"/>
          <w:noProof/>
          <w:szCs w:val="20"/>
          <w:lang w:val="sl-SI"/>
        </w:rPr>
        <w:t xml:space="preserve">, ki je določen v odločbi oziroma ki ga za plačilo obračunane obveznosti določa zakon.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V primeru naknadno ugotovljene obveznosti v davčnem nadzoru, teče zastaranje od dneva izvršljivosti odmerne odločbe (naslednji dan po roku za plačilo, ki je določen v odmerni odločbi).</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Zastaralni rok se lahko v določenih primerih pretrga (velja le za relativni zastaralni rok) ali zadrži (velja tako za relativni kot za absolutni zastaralni rok).</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u w:val="single"/>
          <w:lang w:val="sl-SI"/>
        </w:rPr>
        <w:t>Če se relativni zastaralni rok pretrga, začne teči znova, vendar največ do poteka absolutnega zastaralnega roka.</w:t>
      </w:r>
      <w:r w:rsidRPr="00970B45">
        <w:rPr>
          <w:rFonts w:eastAsiaTheme="minorHAnsi" w:cs="Arial"/>
          <w:noProof/>
          <w:szCs w:val="20"/>
          <w:lang w:val="sl-SI"/>
        </w:rPr>
        <w:t xml:space="preserve"> Tek zastaranja pretrga vsako uradno dejanje davčnega organa z namenom izvršbe in o katerem je bil dolžnik obveščen, npr. vročitev sklepa o davčni izvršbi, vročitev sklepa o delni ustavitvi postopka davčne izvršbe, vročitev poziva za plačilo in predložitev seznama premoženja, prijava terjatev v postopek zaradi insolventnosti, ipd.. (drugi in četrti odstavek 126. člena ZDavP-2).</w:t>
      </w:r>
    </w:p>
    <w:p w:rsidR="00970B45" w:rsidRPr="00970B45" w:rsidRDefault="00970B45" w:rsidP="00970B45">
      <w:pPr>
        <w:spacing w:line="276" w:lineRule="auto"/>
        <w:jc w:val="both"/>
        <w:rPr>
          <w:rFonts w:eastAsiaTheme="minorHAnsi" w:cs="Arial"/>
          <w:noProof/>
          <w:szCs w:val="20"/>
          <w:lang w:val="sl-SI"/>
        </w:rPr>
      </w:pPr>
      <w:r w:rsidRPr="00970B45">
        <w:rPr>
          <w:rFonts w:eastAsiaTheme="minorHAnsi" w:cs="Arial"/>
          <w:noProof/>
          <w:szCs w:val="20"/>
          <w:lang w:val="sl-SI"/>
        </w:rPr>
        <w:t xml:space="preserve">Zastaranje se zadrži za čas, ko izvršbe zaradi zakonskih razlogov ali teka sodnih postopkov ni mogoče opraviti. </w:t>
      </w:r>
      <w:r w:rsidRPr="00970B45">
        <w:rPr>
          <w:rFonts w:eastAsiaTheme="minorHAnsi" w:cs="Arial"/>
          <w:noProof/>
          <w:szCs w:val="20"/>
          <w:u w:val="single"/>
          <w:lang w:val="sl-SI"/>
        </w:rPr>
        <w:t>V času zadržanja zastaranje ne teče, kar pomeni, da se tako relativni kot absolutni zastaralni rok za čas zadržanja podaljšata.</w:t>
      </w:r>
      <w:r w:rsidRPr="00970B45">
        <w:rPr>
          <w:rFonts w:eastAsiaTheme="minorHAnsi" w:cs="Arial"/>
          <w:noProof/>
          <w:szCs w:val="20"/>
          <w:lang w:val="sl-SI"/>
        </w:rPr>
        <w:t xml:space="preserve"> Izvršbe ni mogoče opraviti v času trajanja postopka zaradi insolventnosti, v času trajanja zapuščinskega postopka, v času, ko je izvršba odložena oziroma zadržana ter v drugih primerih. (peti odstavek 126. člena ZDavP-2).</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lastRenderedPageBreak/>
        <w:t xml:space="preserve">Če pravica do izterjave davka zastara, davek preneha in se po uradni dolžnosti odpiše (3. točka prvega odstavka 107. člena ZDavP-2). Obenem nastop zastaranja pravice do izterjave predstavlja razlog za ustavitev postopka davčne izvršbe (6. točka prvega odstavka 155. člena ZDavP-2).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Izjema velja za davek, ki je zavarovan s hipoteko, ki kljub poteku absolutnega  zastaralnega roka ne preneha in se ne odpiše (razen zamudnih obresti), če je pred potekom zastaranja vložen predlog za izvršbo na nepremično. V tem primeru davek (glavnica) preneha s poplačilom iz prodaje nepremičnine v izvršilnem postopku (126a. člen ZDavP-2).</w:t>
      </w:r>
    </w:p>
    <w:tbl>
      <w:tblPr>
        <w:tblW w:w="94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9"/>
      </w:tblGrid>
      <w:tr w:rsidR="00970B45" w:rsidRPr="00970B45" w:rsidTr="008147A6">
        <w:trPr>
          <w:trHeight w:val="2771"/>
        </w:trPr>
        <w:tc>
          <w:tcPr>
            <w:tcW w:w="9469" w:type="dxa"/>
          </w:tcPr>
          <w:p w:rsidR="00970B45" w:rsidRPr="00970B45" w:rsidRDefault="00970B45" w:rsidP="008147A6">
            <w:pPr>
              <w:spacing w:line="276" w:lineRule="auto"/>
              <w:ind w:left="113"/>
              <w:jc w:val="both"/>
              <w:rPr>
                <w:rFonts w:eastAsiaTheme="minorHAnsi" w:cs="Arial"/>
                <w:b/>
                <w:iCs/>
                <w:noProof/>
                <w:szCs w:val="20"/>
                <w:u w:val="single"/>
                <w:lang w:val="sl-SI"/>
              </w:rPr>
            </w:pPr>
          </w:p>
          <w:p w:rsidR="00970B45" w:rsidRPr="00970B45" w:rsidRDefault="00970B45" w:rsidP="008147A6">
            <w:pPr>
              <w:spacing w:line="276" w:lineRule="auto"/>
              <w:ind w:left="113"/>
              <w:jc w:val="both"/>
              <w:rPr>
                <w:rFonts w:eastAsiaTheme="minorHAnsi" w:cs="Arial"/>
                <w:i/>
                <w:iCs/>
                <w:noProof/>
                <w:szCs w:val="20"/>
                <w:lang w:val="sl-SI"/>
              </w:rPr>
            </w:pPr>
            <w:r w:rsidRPr="00970B45">
              <w:rPr>
                <w:rFonts w:eastAsiaTheme="minorHAnsi" w:cs="Arial"/>
                <w:b/>
                <w:iCs/>
                <w:noProof/>
                <w:szCs w:val="20"/>
                <w:u w:val="single"/>
                <w:lang w:val="sl-SI"/>
              </w:rPr>
              <w:t>Primer zastaranja pravice do izterjave</w:t>
            </w:r>
            <w:r w:rsidRPr="00970B45">
              <w:rPr>
                <w:rFonts w:eastAsiaTheme="minorHAnsi" w:cs="Arial"/>
                <w:i/>
                <w:iCs/>
                <w:noProof/>
                <w:szCs w:val="20"/>
                <w:lang w:val="sl-SI"/>
              </w:rPr>
              <w:t xml:space="preserve">: </w:t>
            </w:r>
          </w:p>
          <w:p w:rsidR="00970B45" w:rsidRPr="00970B45" w:rsidRDefault="00970B45" w:rsidP="00970B45">
            <w:pPr>
              <w:pStyle w:val="Odstavekseznama"/>
              <w:numPr>
                <w:ilvl w:val="0"/>
                <w:numId w:val="8"/>
              </w:numPr>
              <w:spacing w:after="0" w:line="276" w:lineRule="auto"/>
              <w:ind w:left="833"/>
              <w:jc w:val="both"/>
              <w:rPr>
                <w:rFonts w:ascii="Arial" w:eastAsiaTheme="minorHAnsi" w:hAnsi="Arial" w:cs="Arial"/>
                <w:i/>
                <w:iCs/>
                <w:noProof/>
                <w:sz w:val="20"/>
                <w:szCs w:val="20"/>
              </w:rPr>
            </w:pPr>
            <w:r w:rsidRPr="00970B45">
              <w:rPr>
                <w:rFonts w:ascii="Arial" w:eastAsiaTheme="minorHAnsi" w:hAnsi="Arial" w:cs="Arial"/>
                <w:i/>
                <w:iCs/>
                <w:noProof/>
                <w:sz w:val="20"/>
                <w:szCs w:val="20"/>
              </w:rPr>
              <w:t>1. 10. 2020 – rok za plačilo davka</w:t>
            </w:r>
          </w:p>
          <w:p w:rsidR="00970B45" w:rsidRPr="00970B45" w:rsidRDefault="00970B45" w:rsidP="00970B45">
            <w:pPr>
              <w:pStyle w:val="Odstavekseznama"/>
              <w:numPr>
                <w:ilvl w:val="0"/>
                <w:numId w:val="8"/>
              </w:numPr>
              <w:spacing w:after="0" w:line="276" w:lineRule="auto"/>
              <w:ind w:left="833"/>
              <w:jc w:val="both"/>
              <w:rPr>
                <w:rFonts w:ascii="Arial" w:eastAsiaTheme="minorHAnsi" w:hAnsi="Arial" w:cs="Arial"/>
                <w:i/>
                <w:iCs/>
                <w:noProof/>
                <w:sz w:val="20"/>
                <w:szCs w:val="20"/>
              </w:rPr>
            </w:pPr>
            <w:r w:rsidRPr="00970B45">
              <w:rPr>
                <w:rFonts w:ascii="Arial" w:eastAsiaTheme="minorHAnsi" w:hAnsi="Arial" w:cs="Arial"/>
                <w:i/>
                <w:iCs/>
                <w:noProof/>
                <w:sz w:val="20"/>
                <w:szCs w:val="20"/>
              </w:rPr>
              <w:t>15. 11. 2020 – dolžniku je vročen sklep o davčni izvršbi</w:t>
            </w:r>
          </w:p>
          <w:p w:rsidR="00970B45" w:rsidRPr="00970B45" w:rsidRDefault="00970B45" w:rsidP="00970B45">
            <w:pPr>
              <w:pStyle w:val="Odstavekseznama"/>
              <w:numPr>
                <w:ilvl w:val="0"/>
                <w:numId w:val="8"/>
              </w:numPr>
              <w:spacing w:after="0" w:line="276" w:lineRule="auto"/>
              <w:ind w:left="833"/>
              <w:jc w:val="both"/>
              <w:rPr>
                <w:rFonts w:ascii="Arial" w:eastAsiaTheme="minorHAnsi" w:hAnsi="Arial" w:cs="Arial"/>
                <w:i/>
                <w:iCs/>
                <w:noProof/>
                <w:sz w:val="20"/>
                <w:szCs w:val="20"/>
              </w:rPr>
            </w:pPr>
            <w:r w:rsidRPr="00970B45">
              <w:rPr>
                <w:rFonts w:ascii="Arial" w:eastAsiaTheme="minorHAnsi" w:hAnsi="Arial" w:cs="Arial"/>
                <w:i/>
                <w:iCs/>
                <w:noProof/>
                <w:sz w:val="20"/>
                <w:szCs w:val="20"/>
              </w:rPr>
              <w:t>2. 1. 2023 – začetek stečajnega postopka zoper dolžnika, ki se zaključi dne 2. 1. 2024.</w:t>
            </w:r>
          </w:p>
          <w:p w:rsidR="00970B45" w:rsidRPr="00970B45" w:rsidRDefault="00970B45" w:rsidP="008147A6">
            <w:pPr>
              <w:spacing w:line="276" w:lineRule="auto"/>
              <w:ind w:left="113"/>
              <w:jc w:val="both"/>
              <w:rPr>
                <w:rFonts w:eastAsiaTheme="minorHAnsi" w:cs="Arial"/>
                <w:i/>
                <w:iCs/>
                <w:noProof/>
                <w:szCs w:val="20"/>
                <w:lang w:val="sl-SI"/>
              </w:rPr>
            </w:pPr>
            <w:r w:rsidRPr="00970B45">
              <w:rPr>
                <w:rFonts w:eastAsiaTheme="minorHAnsi" w:cs="Arial"/>
                <w:i/>
                <w:iCs/>
                <w:noProof/>
                <w:szCs w:val="20"/>
                <w:lang w:val="sl-SI"/>
              </w:rPr>
              <w:t>Zastaranje pravice do izterjave začne teči naslednji dan po roku za plačilo davka, to je dne 2. 10. 2020. Dne 15. 11. 2020 se (relativno) zastaranje z vročitvijo sklepa o davčni izvršbi pretrga. Od tega dne začne teči nov pet letni (relativni) zastaralni rok, ki bi se iztekel dne 15. 11. 2025, če ne bi prišlo do zadržanja zastaranja za čas stečajnega postopka, tekom katerega izvršba ni mogoča. Zastaralni rok se za čas zadržanja (eno leto) podaljša in se izteče dne 15. 11. 2026.</w:t>
            </w:r>
          </w:p>
          <w:p w:rsidR="00970B45" w:rsidRPr="00970B45" w:rsidRDefault="00970B45" w:rsidP="008147A6">
            <w:pPr>
              <w:spacing w:line="276" w:lineRule="auto"/>
              <w:ind w:left="113"/>
              <w:jc w:val="both"/>
              <w:rPr>
                <w:rFonts w:eastAsiaTheme="minorHAnsi" w:cs="Arial"/>
                <w:b/>
                <w:iCs/>
                <w:noProof/>
                <w:szCs w:val="20"/>
                <w:u w:val="single"/>
                <w:lang w:val="sl-SI"/>
              </w:rPr>
            </w:pPr>
          </w:p>
        </w:tc>
      </w:tr>
    </w:tbl>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cs="Arial"/>
          <w:bCs/>
          <w:noProof/>
          <w:color w:val="292B2C"/>
          <w:sz w:val="20"/>
          <w:szCs w:val="20"/>
        </w:rPr>
      </w:pPr>
      <w:bookmarkStart w:id="12" w:name="_Toc178228162"/>
      <w:r w:rsidRPr="00970B45">
        <w:rPr>
          <w:rFonts w:eastAsiaTheme="minorHAnsi" w:cs="Arial"/>
          <w:noProof/>
          <w:sz w:val="20"/>
          <w:szCs w:val="20"/>
        </w:rPr>
        <w:t>Zastaranje pravice do vračila davka</w:t>
      </w:r>
      <w:bookmarkEnd w:id="12"/>
    </w:p>
    <w:p w:rsidR="00970B45" w:rsidRPr="00970B45" w:rsidRDefault="00970B45" w:rsidP="00970B45">
      <w:pPr>
        <w:shd w:val="clear" w:color="auto" w:fill="FFFFFF"/>
        <w:spacing w:line="240" w:lineRule="auto"/>
        <w:jc w:val="both"/>
        <w:rPr>
          <w:rFonts w:cs="Arial"/>
          <w:bCs/>
          <w:noProof/>
          <w:szCs w:val="20"/>
          <w:lang w:val="sl-SI" w:eastAsia="sl-SI"/>
        </w:rPr>
      </w:pPr>
    </w:p>
    <w:p w:rsidR="00970B45" w:rsidRPr="00970B45" w:rsidRDefault="00970B45" w:rsidP="00970B45">
      <w:pPr>
        <w:shd w:val="clear" w:color="auto" w:fill="FFFFFF"/>
        <w:spacing w:line="240" w:lineRule="auto"/>
        <w:jc w:val="both"/>
        <w:rPr>
          <w:rFonts w:cs="Arial"/>
          <w:bCs/>
          <w:noProof/>
          <w:szCs w:val="20"/>
          <w:lang w:val="sl-SI" w:eastAsia="sl-SI"/>
        </w:rPr>
      </w:pPr>
      <w:r w:rsidRPr="00970B45">
        <w:rPr>
          <w:rFonts w:cs="Arial"/>
          <w:bCs/>
          <w:noProof/>
          <w:szCs w:val="20"/>
          <w:lang w:val="sl-SI" w:eastAsia="sl-SI"/>
        </w:rPr>
        <w:t>Če je z odločbo ali v zvezi s predloženim obračunom ugotovljeno preplačilo davka, se preveč plačan znesek vrne, in sicer:</w:t>
      </w:r>
    </w:p>
    <w:p w:rsidR="00970B45" w:rsidRPr="00970B45" w:rsidRDefault="00970B45" w:rsidP="00970B45">
      <w:pPr>
        <w:pStyle w:val="Odstavekseznama"/>
        <w:numPr>
          <w:ilvl w:val="0"/>
          <w:numId w:val="8"/>
        </w:numPr>
        <w:shd w:val="clear" w:color="auto" w:fill="FFFFFF"/>
        <w:spacing w:after="0" w:line="240" w:lineRule="auto"/>
        <w:jc w:val="both"/>
        <w:rPr>
          <w:rFonts w:ascii="Arial" w:eastAsia="Times New Roman" w:hAnsi="Arial" w:cs="Arial"/>
          <w:bCs/>
          <w:noProof/>
          <w:sz w:val="20"/>
          <w:szCs w:val="20"/>
          <w:lang w:eastAsia="sl-SI"/>
        </w:rPr>
      </w:pPr>
      <w:r w:rsidRPr="00970B45">
        <w:rPr>
          <w:rFonts w:ascii="Arial" w:eastAsia="Times New Roman" w:hAnsi="Arial" w:cs="Arial"/>
          <w:bCs/>
          <w:noProof/>
          <w:sz w:val="20"/>
          <w:szCs w:val="20"/>
          <w:u w:val="single"/>
          <w:lang w:eastAsia="sl-SI"/>
        </w:rPr>
        <w:t>po uradni dolžnosti</w:t>
      </w:r>
      <w:r w:rsidRPr="00970B45">
        <w:rPr>
          <w:rFonts w:ascii="Arial" w:eastAsia="Times New Roman" w:hAnsi="Arial" w:cs="Arial"/>
          <w:bCs/>
          <w:noProof/>
          <w:sz w:val="20"/>
          <w:szCs w:val="20"/>
          <w:lang w:eastAsia="sl-SI"/>
        </w:rPr>
        <w:t xml:space="preserve"> – če preplačilo presega 10 EUR. Vračilo se izvede v 30 dneh od dneva vročitve odmerne odločbe oziroma od dneva predložitve obračuna. (prvi odstavek 97. člena ZDavP-2)</w:t>
      </w:r>
    </w:p>
    <w:p w:rsidR="00970B45" w:rsidRPr="00970B45" w:rsidRDefault="00970B45" w:rsidP="00970B45">
      <w:pPr>
        <w:pStyle w:val="Odstavekseznama"/>
        <w:numPr>
          <w:ilvl w:val="0"/>
          <w:numId w:val="8"/>
        </w:numPr>
        <w:shd w:val="clear" w:color="auto" w:fill="FFFFFF"/>
        <w:spacing w:after="0" w:line="240" w:lineRule="auto"/>
        <w:jc w:val="both"/>
        <w:rPr>
          <w:rFonts w:ascii="Arial" w:eastAsia="Times New Roman" w:hAnsi="Arial" w:cs="Arial"/>
          <w:bCs/>
          <w:noProof/>
          <w:sz w:val="20"/>
          <w:szCs w:val="20"/>
          <w:lang w:eastAsia="sl-SI"/>
        </w:rPr>
      </w:pPr>
      <w:r w:rsidRPr="00970B45">
        <w:rPr>
          <w:rFonts w:ascii="Arial" w:eastAsia="Times New Roman" w:hAnsi="Arial" w:cs="Arial"/>
          <w:bCs/>
          <w:noProof/>
          <w:sz w:val="20"/>
          <w:szCs w:val="20"/>
          <w:u w:val="single"/>
          <w:lang w:eastAsia="sl-SI"/>
        </w:rPr>
        <w:t>na zahtevo zavezanca</w:t>
      </w:r>
      <w:r w:rsidRPr="00970B45">
        <w:rPr>
          <w:rFonts w:ascii="Arial" w:eastAsia="Times New Roman" w:hAnsi="Arial" w:cs="Arial"/>
          <w:bCs/>
          <w:noProof/>
          <w:sz w:val="20"/>
          <w:szCs w:val="20"/>
          <w:lang w:eastAsia="sl-SI"/>
        </w:rPr>
        <w:t xml:space="preserve"> – če preplačilo ne presega 10 EUR. Vračilo se izvede v 30 dneh od vložitve zahteve. Če zahteva ni podana, se preplačilo šteje v naslednja plačila oziroma v plačila druge vrste davkov. (četrti odstavek 97. člena ZDavP-2)</w:t>
      </w:r>
    </w:p>
    <w:p w:rsidR="00970B45" w:rsidRPr="00970B45" w:rsidRDefault="00970B45" w:rsidP="00970B45">
      <w:pPr>
        <w:pStyle w:val="Odstavekseznama"/>
        <w:shd w:val="clear" w:color="auto" w:fill="FFFFFF"/>
        <w:spacing w:after="0" w:line="240" w:lineRule="auto"/>
        <w:jc w:val="both"/>
        <w:rPr>
          <w:rFonts w:ascii="Arial" w:eastAsia="Times New Roman" w:hAnsi="Arial" w:cs="Arial"/>
          <w:bCs/>
          <w:noProof/>
          <w:sz w:val="20"/>
          <w:szCs w:val="20"/>
          <w:lang w:eastAsia="sl-SI"/>
        </w:rPr>
      </w:pPr>
    </w:p>
    <w:p w:rsidR="00970B45" w:rsidRPr="00970B45" w:rsidRDefault="00970B45" w:rsidP="00970B45">
      <w:pPr>
        <w:shd w:val="clear" w:color="auto" w:fill="FFFFFF"/>
        <w:spacing w:line="240" w:lineRule="auto"/>
        <w:jc w:val="both"/>
        <w:rPr>
          <w:rFonts w:eastAsiaTheme="minorHAnsi" w:cs="Arial"/>
          <w:noProof/>
          <w:szCs w:val="20"/>
          <w:lang w:val="sl-SI"/>
        </w:rPr>
      </w:pPr>
      <w:r w:rsidRPr="00970B45">
        <w:rPr>
          <w:rFonts w:cs="Arial"/>
          <w:bCs/>
          <w:noProof/>
          <w:szCs w:val="20"/>
          <w:lang w:val="sl-SI" w:eastAsia="sl-SI"/>
        </w:rPr>
        <w:t>Pravica zavezanca do vračila davka je časovno omejena</w:t>
      </w:r>
      <w:r w:rsidRPr="00970B45">
        <w:rPr>
          <w:rFonts w:eastAsiaTheme="minorHAnsi" w:cs="Arial"/>
          <w:noProof/>
          <w:szCs w:val="20"/>
          <w:lang w:val="sl-SI"/>
        </w:rPr>
        <w:t>, in sicer zakon določa dva zastaralna roka:</w:t>
      </w:r>
    </w:p>
    <w:p w:rsidR="00970B45" w:rsidRPr="00970B45" w:rsidRDefault="00970B45" w:rsidP="00970B45">
      <w:pPr>
        <w:pStyle w:val="Odstavekseznama"/>
        <w:numPr>
          <w:ilvl w:val="0"/>
          <w:numId w:val="8"/>
        </w:numPr>
        <w:jc w:val="both"/>
        <w:rPr>
          <w:rFonts w:ascii="Arial" w:eastAsiaTheme="minorHAnsi" w:hAnsi="Arial" w:cs="Arial"/>
          <w:noProof/>
          <w:sz w:val="20"/>
          <w:szCs w:val="20"/>
        </w:rPr>
      </w:pPr>
      <w:r w:rsidRPr="00970B45">
        <w:rPr>
          <w:rFonts w:ascii="Arial" w:eastAsiaTheme="minorHAnsi" w:hAnsi="Arial" w:cs="Arial"/>
          <w:noProof/>
          <w:sz w:val="20"/>
          <w:szCs w:val="20"/>
          <w:u w:val="single"/>
        </w:rPr>
        <w:t>Pet letni relativni zastaralni rok</w:t>
      </w:r>
      <w:r w:rsidRPr="00970B45">
        <w:rPr>
          <w:rFonts w:ascii="Arial" w:eastAsiaTheme="minorHAnsi" w:hAnsi="Arial" w:cs="Arial"/>
          <w:noProof/>
          <w:sz w:val="20"/>
          <w:szCs w:val="20"/>
        </w:rPr>
        <w:t xml:space="preserve"> (četrti odstavek 125. člena ZDavP-2),</w:t>
      </w:r>
    </w:p>
    <w:p w:rsidR="00970B45" w:rsidRPr="00970B45" w:rsidRDefault="00970B45" w:rsidP="00970B45">
      <w:pPr>
        <w:pStyle w:val="Odstavekseznama"/>
        <w:rPr>
          <w:rFonts w:ascii="Arial" w:eastAsia="Times New Roman" w:hAnsi="Arial" w:cs="Arial"/>
          <w:bCs/>
          <w:noProof/>
          <w:sz w:val="20"/>
          <w:szCs w:val="20"/>
          <w:lang w:eastAsia="sl-SI"/>
        </w:rPr>
      </w:pPr>
      <w:r w:rsidRPr="00970B45">
        <w:rPr>
          <w:rFonts w:ascii="Arial" w:eastAsiaTheme="minorHAnsi" w:hAnsi="Arial" w:cs="Arial"/>
          <w:noProof/>
          <w:sz w:val="20"/>
          <w:szCs w:val="20"/>
          <w:u w:val="single"/>
        </w:rPr>
        <w:t>Deset letni absolutni zastaralni rok</w:t>
      </w:r>
      <w:r w:rsidRPr="00970B45">
        <w:rPr>
          <w:rFonts w:ascii="Arial" w:eastAsiaTheme="minorHAnsi" w:hAnsi="Arial" w:cs="Arial"/>
          <w:noProof/>
          <w:sz w:val="20"/>
          <w:szCs w:val="20"/>
        </w:rPr>
        <w:t xml:space="preserve"> (sedmi odstavek 126. člena ZDavP-2).</w:t>
      </w:r>
    </w:p>
    <w:p w:rsidR="00970B45" w:rsidRPr="00970B45" w:rsidRDefault="00970B45" w:rsidP="00970B45">
      <w:pPr>
        <w:jc w:val="both"/>
        <w:rPr>
          <w:rFonts w:cs="Arial"/>
          <w:bCs/>
          <w:noProof/>
          <w:szCs w:val="20"/>
          <w:lang w:val="sl-SI" w:eastAsia="sl-SI"/>
        </w:rPr>
      </w:pPr>
      <w:r w:rsidRPr="00970B45">
        <w:rPr>
          <w:rFonts w:cs="Arial"/>
          <w:bCs/>
          <w:noProof/>
          <w:szCs w:val="20"/>
          <w:lang w:val="sl-SI" w:eastAsia="sl-SI"/>
        </w:rPr>
        <w:t>Zastaranje pravice do vračila davka začne teči od dneva, ko je zavezanec davek plačal oziroma od pridobitve pravnega naslova, s katerim je bilo ugotovljeno, da ga ni bil dolžan plačati.</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Zastaralni rok se lahko v določenih primerih pretrga (velja le za relativni zastaralni rok) ali zadrži (velja tako za relativni kot za absolutni zastaralni rok).</w:t>
      </w:r>
    </w:p>
    <w:p w:rsidR="00970B45" w:rsidRPr="00970B45" w:rsidRDefault="00970B45" w:rsidP="00970B45">
      <w:pPr>
        <w:jc w:val="both"/>
        <w:rPr>
          <w:rFonts w:cs="Arial"/>
          <w:bCs/>
          <w:noProof/>
          <w:szCs w:val="20"/>
          <w:lang w:val="sl-SI" w:eastAsia="sl-SI"/>
        </w:rPr>
      </w:pPr>
      <w:r w:rsidRPr="00970B45">
        <w:rPr>
          <w:rFonts w:cs="Arial"/>
          <w:bCs/>
          <w:noProof/>
          <w:szCs w:val="20"/>
          <w:lang w:val="sl-SI" w:eastAsia="sl-SI"/>
        </w:rPr>
        <w:t xml:space="preserve">Če se relativni zastaralni rok </w:t>
      </w:r>
      <w:r w:rsidRPr="00970B45">
        <w:rPr>
          <w:rFonts w:cs="Arial"/>
          <w:bCs/>
          <w:noProof/>
          <w:szCs w:val="20"/>
          <w:u w:val="single"/>
          <w:lang w:val="sl-SI" w:eastAsia="sl-SI"/>
        </w:rPr>
        <w:t>pretrga</w:t>
      </w:r>
      <w:r w:rsidRPr="00970B45">
        <w:rPr>
          <w:rFonts w:cs="Arial"/>
          <w:bCs/>
          <w:noProof/>
          <w:szCs w:val="20"/>
          <w:lang w:val="sl-SI" w:eastAsia="sl-SI"/>
        </w:rPr>
        <w:t>, začne teči znova, vendar največ do poteka absolutnega zastaralnega roka. Tek zastaranja pretrga vsako uradno dejanje davčnega organa ali vsako dejanje, ki ga zavezanec za davek opravi pri davčnemu organu z namenom, da doseže vračilo davka. (tretji odstavek 126. člena ZDavP-2)</w:t>
      </w:r>
    </w:p>
    <w:p w:rsidR="00970B45" w:rsidRPr="00970B45" w:rsidRDefault="00970B45" w:rsidP="00970B45">
      <w:pPr>
        <w:jc w:val="both"/>
        <w:rPr>
          <w:rFonts w:cs="Arial"/>
          <w:bCs/>
          <w:noProof/>
          <w:szCs w:val="20"/>
          <w:lang w:val="sl-SI" w:eastAsia="sl-SI"/>
        </w:rPr>
      </w:pPr>
      <w:r w:rsidRPr="00970B45">
        <w:rPr>
          <w:rFonts w:cs="Arial"/>
          <w:bCs/>
          <w:noProof/>
          <w:szCs w:val="20"/>
          <w:lang w:val="sl-SI" w:eastAsia="sl-SI"/>
        </w:rPr>
        <w:t xml:space="preserve">Če o pravici zavezanca do vračila davka odloča sodišče in zavezanec s tožbo uspe, se zastaranje za čas sodnega postopka </w:t>
      </w:r>
      <w:r w:rsidRPr="00970B45">
        <w:rPr>
          <w:rFonts w:cs="Arial"/>
          <w:bCs/>
          <w:noProof/>
          <w:szCs w:val="20"/>
          <w:u w:val="single"/>
          <w:lang w:val="sl-SI" w:eastAsia="sl-SI"/>
        </w:rPr>
        <w:t>zadrži</w:t>
      </w:r>
      <w:r w:rsidRPr="00970B45">
        <w:rPr>
          <w:rFonts w:cs="Arial"/>
          <w:bCs/>
          <w:noProof/>
          <w:szCs w:val="20"/>
          <w:lang w:val="sl-SI" w:eastAsia="sl-SI"/>
        </w:rPr>
        <w:t>. V času zadržanja zastaranje ne teče, kar pomeni, da se tako relativni kot absolutni zastaralni rok za čas zadržanja podaljšata. (sedmi odstavek 126. člena)</w:t>
      </w:r>
    </w:p>
    <w:p w:rsidR="00970B45" w:rsidRPr="00970B45" w:rsidRDefault="00970B45" w:rsidP="00970B45">
      <w:pPr>
        <w:jc w:val="both"/>
        <w:rPr>
          <w:rFonts w:eastAsiaTheme="minorHAnsi" w:cs="Arial"/>
          <w:noProof/>
          <w:szCs w:val="20"/>
          <w:lang w:val="sl-SI"/>
        </w:rPr>
      </w:pPr>
      <w:r w:rsidRPr="00970B45">
        <w:rPr>
          <w:rFonts w:cs="Arial"/>
          <w:bCs/>
          <w:noProof/>
          <w:szCs w:val="20"/>
          <w:lang w:val="sl-SI" w:eastAsia="sl-SI"/>
        </w:rPr>
        <w:t>Če pravica do vračila davka zastara, se preplačilo po uradni dolžnosti odpiše. (4. točka prvega odstavka 107. člena ZDavP-2)</w:t>
      </w: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13" w:name="_Toc178228163"/>
      <w:r w:rsidRPr="00970B45">
        <w:rPr>
          <w:rFonts w:eastAsiaTheme="minorHAnsi" w:cs="Arial"/>
          <w:noProof/>
          <w:sz w:val="20"/>
          <w:szCs w:val="20"/>
        </w:rPr>
        <w:t>Pretrganje zastaranja</w:t>
      </w:r>
      <w:bookmarkEnd w:id="13"/>
    </w:p>
    <w:p w:rsidR="00970B45" w:rsidRPr="00970B45" w:rsidRDefault="00970B45" w:rsidP="00970B45">
      <w:pPr>
        <w:ind w:left="1080"/>
        <w:contextualSpacing/>
        <w:jc w:val="both"/>
        <w:rPr>
          <w:rFonts w:eastAsiaTheme="minorHAnsi" w:cs="Arial"/>
          <w:noProof/>
          <w:szCs w:val="20"/>
          <w:lang w:val="sl-SI"/>
        </w:rPr>
      </w:pPr>
    </w:p>
    <w:p w:rsidR="00970B45" w:rsidRPr="00970B45" w:rsidRDefault="00970B45" w:rsidP="00970B45">
      <w:pPr>
        <w:jc w:val="both"/>
        <w:rPr>
          <w:rFonts w:eastAsiaTheme="minorHAnsi" w:cs="Arial"/>
          <w:i/>
          <w:noProof/>
          <w:szCs w:val="20"/>
          <w:u w:val="single"/>
          <w:lang w:val="sl-SI"/>
        </w:rPr>
      </w:pPr>
      <w:r w:rsidRPr="00970B45">
        <w:rPr>
          <w:rFonts w:eastAsiaTheme="minorHAnsi" w:cs="Arial"/>
          <w:i/>
          <w:noProof/>
          <w:szCs w:val="20"/>
          <w:u w:val="single"/>
          <w:lang w:val="sl-SI"/>
        </w:rPr>
        <w:t xml:space="preserve">Pretrganje ureja 126. člen ZDavP-2 v prvem, drugem, tretjem in četrtem odstavku, kjer je urejeno pretrganje zastaranja pravice do odmere, izterjave in vračila davka.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lastRenderedPageBreak/>
        <w:t xml:space="preserve">Pretrganje se razume kot procesno dejanje, ki pretrga tek že doseženega zastaralnega časa. Posledica tega je, da začne subjektivno oziroma relativno zastaranje teči znova.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To je mogoče razumeti, kot da zastaranja do pretrganja ni bilo. Ponovni tek zastaranja pa je odvisen od razpoložljivega roka znotraj absolutnega zastaralnega roka.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ZDavP-2 v prvem odstavku 126. člena ureja pretrganje zastaranja pri pravici do odmere, in sicer tek zastaranja pravice do odmere davka pretrga vsako uradno dejanje davčnega organa z namenom odmere davka in o katerem je zavezanec za davek obveščen.</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Iz dikcije zakona torej lahko razberemo dva kumulativna pogoja za pretrganje zastaranja pri pravici do odmere. </w:t>
      </w:r>
    </w:p>
    <w:p w:rsidR="00970B45" w:rsidRPr="00970B45" w:rsidRDefault="00970B45" w:rsidP="00970B45">
      <w:pPr>
        <w:numPr>
          <w:ilvl w:val="0"/>
          <w:numId w:val="8"/>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Prvi pogoj je vsako uradno dejanje davčnega organa, katerega namen je odmera davka</w:t>
      </w:r>
    </w:p>
    <w:p w:rsidR="00970B45" w:rsidRPr="00970B45" w:rsidRDefault="00970B45" w:rsidP="00970B45">
      <w:pPr>
        <w:numPr>
          <w:ilvl w:val="0"/>
          <w:numId w:val="8"/>
        </w:numPr>
        <w:spacing w:after="160" w:line="259" w:lineRule="auto"/>
        <w:contextualSpacing/>
        <w:jc w:val="both"/>
        <w:rPr>
          <w:rFonts w:eastAsiaTheme="minorHAnsi" w:cs="Arial"/>
          <w:noProof/>
          <w:szCs w:val="20"/>
          <w:lang w:val="sl-SI"/>
        </w:rPr>
      </w:pPr>
      <w:r w:rsidRPr="00970B45">
        <w:rPr>
          <w:rFonts w:eastAsiaTheme="minorHAnsi" w:cs="Arial"/>
          <w:noProof/>
          <w:szCs w:val="20"/>
          <w:lang w:val="sl-SI"/>
        </w:rPr>
        <w:t xml:space="preserve">Drugi pogoj pa je, da mora biti davčni zavezanec o takem uradnem dejanju obveščen </w:t>
      </w: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V drugem odstavku istega člena zakon ureja pretrganje zastaranja pri prisilni izterjavi davčnega dolga.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Tudi v tem odstavku najdemo dva kumulativna pogoja, in sicer vsako uradno dejanje davčnega organa, katerega namen je davčna izvršba in obveščenost davčnega dolžnika.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Pretrganje zastaranja pravice do vračila plačanega davka ureja tretji odstavek 126. člena ZDavP-2, po katerem tek zastaranja pretrga vsako uradno dejanje davčnega organa ali vsako uradno dejanje, ki ga davčni zavezanec opravi pri davčnem organu z namenom, da doseže vračilo davka.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Več o pretrganju zastaranja pri prisilni izterjavi davčnega dolga ter do vračila plačanega davka pa je pojasnjeno v poglavju 6.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Nazadnje pa četrti odstavek 126. člena ZDavP-2 vsebuje določilo, da po pretrganju zastaranja začne zastaranje znova teči in se čas, ki je pretekel pred pretrganjem, ne šteje v zastaralni rok, ki ga določa zakon.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Pretrganje je relevantno edino v povezavi z relativnim petletnim zastaralnim rokom in v primeru izpolnjenih kumulativnih pogojev.  Pri absolutnem zastaralnem roku nikoli ne pride do pretrganja zastaranja.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Če pogledamo sodno prakso glede primerov pretrganja teka zastaranja pravice do odmere davka  je glede prvega pogoj za pretrganje zastaranje, torej pomena vsakega uradnega dejanja davčnega organa, katerega namen je odmera davka, kar nekaj odločitev.  </w:t>
      </w:r>
    </w:p>
    <w:p w:rsidR="00970B45" w:rsidRPr="00970B45" w:rsidRDefault="00970B45" w:rsidP="00970B45">
      <w:pPr>
        <w:spacing w:line="240" w:lineRule="auto"/>
        <w:jc w:val="both"/>
        <w:rPr>
          <w:rFonts w:eastAsiaTheme="minorHAnsi" w:cs="Arial"/>
          <w:noProof/>
          <w:szCs w:val="20"/>
          <w:lang w:val="sl-SI"/>
        </w:rPr>
      </w:pPr>
      <w:r w:rsidRPr="00970B45">
        <w:rPr>
          <w:rFonts w:eastAsiaTheme="minorHAnsi" w:cs="Arial"/>
          <w:noProof/>
          <w:color w:val="303030"/>
          <w:szCs w:val="20"/>
          <w:shd w:val="clear" w:color="auto" w:fill="FFFFFF"/>
          <w:lang w:val="sl-SI"/>
        </w:rPr>
        <w:t xml:space="preserve">Po presoji Vrhovnega sodišča so z uradnimi dejanji, ki imajo za posledico ustavitev (pretrganje) zastaranja, mišljena uradna dejanja pred izdajo odločbe, kot so npr. izdaja sklepa o začetku inšpekcijskega pregleda, izdaja inšpekcijskega zapisnika, podaja pripomb na zapisnik, izdaja </w:t>
      </w:r>
      <w:r w:rsidRPr="00970B45">
        <w:rPr>
          <w:rFonts w:eastAsiaTheme="minorHAnsi" w:cs="Arial"/>
          <w:noProof/>
          <w:szCs w:val="20"/>
          <w:shd w:val="clear" w:color="auto" w:fill="FFFFFF"/>
          <w:lang w:val="sl-SI"/>
        </w:rPr>
        <w:t>dopolnilnega zapisnika ipd. Po izdaji in vročitvi odmerne odločbe pa zastaranje odmere davka ne more več nastopiti.</w:t>
      </w:r>
      <w:r w:rsidRPr="00970B45">
        <w:rPr>
          <w:rFonts w:eastAsiaTheme="minorHAnsi" w:cs="Arial"/>
          <w:noProof/>
          <w:szCs w:val="20"/>
          <w:shd w:val="clear" w:color="auto" w:fill="FFFFFF"/>
          <w:vertAlign w:val="superscript"/>
          <w:lang w:val="sl-SI"/>
        </w:rPr>
        <w:footnoteReference w:id="11"/>
      </w:r>
      <w:r w:rsidRPr="00970B45">
        <w:rPr>
          <w:rFonts w:eastAsiaTheme="minorHAnsi" w:cs="Arial"/>
          <w:noProof/>
          <w:szCs w:val="20"/>
          <w:shd w:val="clear" w:color="auto" w:fill="FFFFFF"/>
          <w:lang w:val="sl-SI"/>
        </w:rPr>
        <w:t xml:space="preserve"> Tudi poziv na predložitev poslovne dokumentacije je potrebno obravnavati kot uradno dejanje davčnega organa, namenjeno odmeri davka, ki je pretrgalo tek petletnega relativnega zastaralnega roka za zastaranje pravice do odmere </w:t>
      </w:r>
      <w:r w:rsidRPr="00970B45">
        <w:rPr>
          <w:rFonts w:eastAsiaTheme="minorHAnsi" w:cs="Arial"/>
          <w:noProof/>
          <w:szCs w:val="20"/>
          <w:vertAlign w:val="superscript"/>
          <w:lang w:val="sl-SI"/>
        </w:rPr>
        <w:footnoteReference w:id="12"/>
      </w:r>
      <w:r w:rsidRPr="00970B45">
        <w:rPr>
          <w:rFonts w:eastAsiaTheme="minorHAnsi" w:cs="Arial"/>
          <w:noProof/>
          <w:szCs w:val="20"/>
          <w:lang w:val="sl-SI"/>
        </w:rPr>
        <w:t xml:space="preserve"> S pojmom »vsako uradno dejanje« mišljen tudi začetek  inšpekcijskega postopka po uradni dolžnosti in njegovo kasnejše vodenje. </w:t>
      </w:r>
      <w:r w:rsidRPr="00970B45">
        <w:rPr>
          <w:rFonts w:eastAsiaTheme="minorHAnsi" w:cs="Arial"/>
          <w:noProof/>
          <w:szCs w:val="20"/>
          <w:vertAlign w:val="superscript"/>
          <w:lang w:val="sl-SI"/>
        </w:rPr>
        <w:footnoteReference w:id="13"/>
      </w:r>
      <w:r w:rsidRPr="00970B45">
        <w:rPr>
          <w:rFonts w:eastAsiaTheme="minorHAnsi" w:cs="Arial"/>
          <w:noProof/>
          <w:szCs w:val="20"/>
          <w:lang w:val="sl-SI"/>
        </w:rPr>
        <w:t xml:space="preserve"> Vendar teka zastaralnega roka ne pretrga zgolj začetek davčnega inšpekcijskega nadzora oziroma katero drugo specifično dejanje davčnega organa, temveč prav vsako ravnanje davčnega organa, ki je izvršeno z namenom končne odmere davka. </w:t>
      </w:r>
      <w:r w:rsidRPr="00970B45">
        <w:rPr>
          <w:rFonts w:eastAsiaTheme="minorHAnsi" w:cs="Arial"/>
          <w:noProof/>
          <w:szCs w:val="20"/>
          <w:vertAlign w:val="superscript"/>
          <w:lang w:val="sl-SI"/>
        </w:rPr>
        <w:footnoteReference w:id="14"/>
      </w:r>
    </w:p>
    <w:p w:rsidR="00970B45" w:rsidRPr="00970B45" w:rsidRDefault="00970B45" w:rsidP="00970B45">
      <w:pPr>
        <w:jc w:val="both"/>
        <w:rPr>
          <w:rFonts w:eastAsiaTheme="minorHAnsi" w:cs="Arial"/>
          <w:noProof/>
          <w:szCs w:val="20"/>
          <w:lang w:val="sl-SI"/>
        </w:rPr>
      </w:pP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Davčni zavezanec bi lahko uspešno zatrjeval, da določeno ravnanje davčnega organa ni pretrgalo teka zastaralnega roka za določeno vrsto davka le v primeru, če bi mu uspelo izkazati, da to ravnanje ni bilo vsebinsko povezano z nazadnje naloženo mu davčno obveznostjo. Torej, da konkretno ravnanje davčnega organa ni prispevalo k ugotovitvi davčne obveznosti zavezanca. </w:t>
      </w:r>
      <w:r w:rsidRPr="00970B45">
        <w:rPr>
          <w:rFonts w:eastAsiaTheme="minorHAnsi" w:cs="Arial"/>
          <w:noProof/>
          <w:szCs w:val="20"/>
          <w:vertAlign w:val="superscript"/>
          <w:lang w:val="sl-SI"/>
        </w:rPr>
        <w:footnoteReference w:id="15"/>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lastRenderedPageBreak/>
        <w:t xml:space="preserve">Prav tako Vrhovno sodišče šteje za uradno dejanje davčnega organa z namenom odmere davka, o katerem je bil dolžnik obveščen, že obisk pooblaščene osebe davčnega organa v prostorih davčnega zavezanca. </w:t>
      </w:r>
      <w:r w:rsidRPr="00970B45">
        <w:rPr>
          <w:rFonts w:eastAsiaTheme="minorHAnsi" w:cs="Arial"/>
          <w:noProof/>
          <w:szCs w:val="20"/>
          <w:vertAlign w:val="superscript"/>
          <w:lang w:val="sl-SI"/>
        </w:rPr>
        <w:footnoteReference w:id="16"/>
      </w:r>
    </w:p>
    <w:p w:rsidR="00970B45" w:rsidRPr="00970B45" w:rsidRDefault="00970B45" w:rsidP="00970B45">
      <w:pPr>
        <w:jc w:val="both"/>
        <w:rPr>
          <w:rFonts w:eastAsiaTheme="minorHAnsi" w:cs="Arial"/>
          <w:noProof/>
          <w:szCs w:val="20"/>
          <w:lang w:val="sl-SI"/>
        </w:rPr>
      </w:pPr>
      <w:r w:rsidRPr="00970B45">
        <w:rPr>
          <w:rFonts w:eastAsiaTheme="minorHAnsi" w:cs="Arial"/>
          <w:i/>
          <w:noProof/>
          <w:szCs w:val="20"/>
          <w:u w:val="single"/>
          <w:lang w:val="sl-SI"/>
        </w:rPr>
        <w:t>Vsekakor pa pretrganje zastaranja pravice do odmere, izterjave ali vračila davka v davčnem pravu temelji na močno zaznavnem javnem interesu</w:t>
      </w:r>
      <w:r w:rsidRPr="00970B45">
        <w:rPr>
          <w:rFonts w:eastAsiaTheme="minorHAnsi" w:cs="Arial"/>
          <w:noProof/>
          <w:szCs w:val="20"/>
          <w:lang w:val="sl-SI"/>
        </w:rPr>
        <w:t>, ki se kaže z vsakim uradnim dejanjem davčnega organa, katerega namen je odmera, izterjava ali vračilo davka.</w:t>
      </w: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14" w:name="_Toc178228164"/>
      <w:bookmarkStart w:id="15" w:name="_Toc178228165"/>
      <w:bookmarkEnd w:id="14"/>
      <w:r w:rsidRPr="00970B45">
        <w:rPr>
          <w:rFonts w:eastAsiaTheme="minorHAnsi" w:cs="Arial"/>
          <w:noProof/>
          <w:sz w:val="20"/>
          <w:szCs w:val="20"/>
        </w:rPr>
        <w:t>Zadržanje zastaranja</w:t>
      </w:r>
      <w:bookmarkEnd w:id="15"/>
      <w:r w:rsidRPr="00970B45">
        <w:rPr>
          <w:rFonts w:eastAsiaTheme="minorHAnsi" w:cs="Arial"/>
          <w:noProof/>
          <w:sz w:val="20"/>
          <w:szCs w:val="20"/>
        </w:rPr>
        <w:t xml:space="preserve">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Z novelo ZDavP-2G leta 2013 je bil v zakon vpeljan institut zadržanja zastaranja.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Zadržanje pomeni, da med tekom zastaralnih rokov nastopijo ovire dejanske ali pravne narave, ki povzročijo, da zastaralni rok ne teče dalje.</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Ovire pri zastaranju niso posledica delovanja davčnega organa in po prenehanju razlogov za zadržanje, zastaranje teče dalje.</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Zadržanje zastaranja ureja peti odstavek 126. člena ZDavP-2, po katerem se zastaranje pravice do izterjave zadrži za čas, ko davčni organ zaradi zakonskih razlogov ali teka sodnih postopkov ne more opraviti davčne izvršbe.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Čas, ki je pretekel pred zadržanjem, se všteje v zastaralni rok, ki ga določa ta zakon. V šestem odstavku istega člena, ki ureja absolutno zastaranje, zakon določa, da se v primeru zadržanja teka absolutnega roka pri izterjavi čas zadržanja ne šteje v čas zastaralnega roka.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 xml:space="preserve">V poglavju o zastaranju pravice do vračila davka je že omenjena izjema pri absolutnem desetletnem roku zastaranja. </w:t>
      </w:r>
    </w:p>
    <w:p w:rsidR="00970B45" w:rsidRPr="00970B45" w:rsidRDefault="00970B45" w:rsidP="00970B45">
      <w:pPr>
        <w:jc w:val="both"/>
        <w:rPr>
          <w:rFonts w:eastAsiaTheme="minorHAnsi" w:cs="Arial"/>
          <w:noProof/>
          <w:szCs w:val="20"/>
          <w:lang w:val="sl-SI"/>
        </w:rPr>
      </w:pPr>
      <w:r w:rsidRPr="00970B45">
        <w:rPr>
          <w:rFonts w:eastAsiaTheme="minorHAnsi" w:cs="Arial"/>
          <w:noProof/>
          <w:szCs w:val="20"/>
          <w:lang w:val="sl-SI"/>
        </w:rPr>
        <w:t>Na podlagi sedmega odstavka 126. člena ZDavP-2 pride do izjeme v primeru, ko zavezancu za davek s sodno odločbo uspe pridobiti naslov za povračilo davka. V tem primeru se čas sodnih postopkov ne šteje v čas zastaralnega roka, torej pride do zadržanja zastaranja.</w:t>
      </w:r>
    </w:p>
    <w:p w:rsidR="00970B45" w:rsidRPr="00970B45" w:rsidRDefault="00970B45" w:rsidP="00970B45">
      <w:pPr>
        <w:pStyle w:val="Naslov1"/>
        <w:keepLines/>
        <w:numPr>
          <w:ilvl w:val="0"/>
          <w:numId w:val="7"/>
        </w:numPr>
        <w:pBdr>
          <w:bottom w:val="single" w:sz="4" w:space="1" w:color="595959" w:themeColor="text1" w:themeTint="A6"/>
        </w:pBdr>
        <w:spacing w:before="360" w:after="160" w:line="259" w:lineRule="auto"/>
        <w:rPr>
          <w:rFonts w:eastAsiaTheme="minorHAnsi" w:cs="Arial"/>
          <w:noProof/>
          <w:sz w:val="20"/>
          <w:szCs w:val="20"/>
        </w:rPr>
      </w:pPr>
      <w:bookmarkStart w:id="16" w:name="_Toc178228166"/>
      <w:bookmarkStart w:id="17" w:name="_Toc178228167"/>
      <w:bookmarkEnd w:id="16"/>
      <w:r w:rsidRPr="00970B45">
        <w:rPr>
          <w:rFonts w:eastAsiaTheme="minorHAnsi" w:cs="Arial"/>
          <w:noProof/>
          <w:sz w:val="20"/>
          <w:szCs w:val="20"/>
        </w:rPr>
        <w:t>Zastaranje carinskega dolga</w:t>
      </w:r>
      <w:bookmarkEnd w:id="17"/>
    </w:p>
    <w:p w:rsidR="00970B45" w:rsidRPr="00970B45" w:rsidRDefault="00970B45" w:rsidP="00970B45">
      <w:pPr>
        <w:jc w:val="both"/>
        <w:rPr>
          <w:rFonts w:cs="Arial"/>
          <w:noProof/>
          <w:szCs w:val="20"/>
          <w:lang w:val="sl-SI"/>
        </w:rPr>
      </w:pPr>
      <w:r w:rsidRPr="00970B45">
        <w:rPr>
          <w:rFonts w:cs="Arial"/>
          <w:noProof/>
          <w:szCs w:val="20"/>
          <w:lang w:val="sl-SI"/>
        </w:rPr>
        <w:t xml:space="preserve">Na podlagi člena 5(18) </w:t>
      </w:r>
      <w:hyperlink r:id="rId11" w:history="1">
        <w:r w:rsidRPr="00970B45">
          <w:rPr>
            <w:rStyle w:val="Hiperpovezava"/>
            <w:rFonts w:cs="Arial"/>
            <w:noProof/>
            <w:szCs w:val="20"/>
            <w:lang w:val="sl-SI"/>
          </w:rPr>
          <w:t>Carinskega zakonika Unije</w:t>
        </w:r>
      </w:hyperlink>
      <w:r w:rsidRPr="00970B45">
        <w:rPr>
          <w:rFonts w:cs="Arial"/>
          <w:noProof/>
          <w:szCs w:val="20"/>
          <w:lang w:val="sl-SI"/>
        </w:rPr>
        <w:t xml:space="preserve"> (v nadaljevanju: CZU) pomeni carinski dolg obveznost osebe, da plača znesek uvozne dajatve (carine), ki se v skladu z veljavno carinsko zakonodajo uporablja za določeno blago. O takšni obveznosti je potrebno dolžnika obvestiti (člen 102(1) CZU). Člen 103(1) CZU nadalje določa, da se po poteku treh let od dne, ko je carinski dolg nastal, dolžnika ne obvešča več o carinskem dolgu. </w:t>
      </w:r>
    </w:p>
    <w:p w:rsidR="00970B45" w:rsidRPr="00970B45" w:rsidRDefault="00970B45" w:rsidP="00970B45">
      <w:pPr>
        <w:jc w:val="both"/>
        <w:rPr>
          <w:rFonts w:cs="Arial"/>
          <w:noProof/>
          <w:szCs w:val="20"/>
          <w:lang w:val="sl-SI"/>
        </w:rPr>
      </w:pPr>
      <w:r w:rsidRPr="00970B45">
        <w:rPr>
          <w:rFonts w:cs="Arial"/>
          <w:noProof/>
          <w:szCs w:val="20"/>
          <w:lang w:val="sl-SI"/>
        </w:rPr>
        <w:t xml:space="preserve">Podaljšanje triletnega roka zastaralnega roka pa je predvideno za primere, ko je carinski dolg nastal kot posledica dejanja, zaradi katerega bi bil v trenutku, ko je bilo storjeno, mogoč kazenski pregon (člen 103(2) CZU). Gre za izjemo od splošne ureditve zastaranja carinskega dolga, ko se zastaralni rok podaljša na najmanj pet in največ deset let v skladu z nacionalnim pravom.  To pomeni, da se triletni rok za obvestilo o carinskem dolgu podaljša na pet let ob upoštevanju prvega odstavka 125. člena ZDavP-2 (relativni zastaralni rok) in da se na podlagi šestega odstavka 126. člena ZDavP-2 kot absolutni zastaralni rok upošteva rok deset let od dne, ko je zastaranje prvič začelo teči. </w:t>
      </w:r>
    </w:p>
    <w:p w:rsidR="00970B45" w:rsidRPr="00970B45" w:rsidRDefault="00970B45" w:rsidP="00970B45">
      <w:pPr>
        <w:jc w:val="both"/>
        <w:rPr>
          <w:rFonts w:cs="Arial"/>
          <w:noProof/>
          <w:szCs w:val="20"/>
          <w:lang w:val="sl-SI"/>
        </w:rPr>
      </w:pPr>
      <w:r w:rsidRPr="00970B45">
        <w:rPr>
          <w:rFonts w:cs="Arial"/>
          <w:noProof/>
          <w:szCs w:val="20"/>
          <w:lang w:val="sl-SI"/>
        </w:rPr>
        <w:t>Glede na sodno prakso sodišča EU</w:t>
      </w:r>
      <w:r w:rsidRPr="00970B45">
        <w:rPr>
          <w:rStyle w:val="Sprotnaopomba-sklic"/>
          <w:rFonts w:cs="Arial"/>
          <w:noProof/>
          <w:szCs w:val="20"/>
          <w:lang w:val="sl-SI"/>
        </w:rPr>
        <w:footnoteReference w:id="17"/>
      </w:r>
      <w:r w:rsidRPr="00970B45">
        <w:rPr>
          <w:rFonts w:cs="Arial"/>
          <w:noProof/>
          <w:szCs w:val="20"/>
          <w:lang w:val="sl-SI"/>
        </w:rPr>
        <w:t xml:space="preserve"> se za uporabo izjeme od zastaralnega roka treh let ne zahteva, da so kazenski organi dejansko začeli kazenski pregon oziroma da je ta privedel do kazenske obsodbe storilcev zadevnega dejanja. Določba člena 103(2) CZU se ne sklicuje na kazensko obsodbo, niti na začetek kakršnegakoli kazenskega pregona, ampak na storitev dejanj, ki se kazensko preganjajo. Navedena opredelitev se izvede le v okviru in za namene upravnega postopka, njen cilj je, da se carinskim organom omogoči, da opravijo obračun uvoznih dajatev. Ker se na podlagi člena 103(2) CZU za zastaranje carinskega dolga, ki je nastal kot posledica dejanja, zoper katerega je mogoč kazenski pregon, uporablja ZDavP-2, ki za zastaranje pravice do odmere davka določa petletni relativni zastaralni rok in desetletni absolutni zastaralni rok, se posledično v takšnih primerih lahko upošteva tudi pretrganje zastaranja. Pri tem se uporabljajo določbe prvega in četrtega  odstavka 126. </w:t>
      </w:r>
      <w:r w:rsidRPr="00970B45">
        <w:rPr>
          <w:rFonts w:cs="Arial"/>
          <w:noProof/>
          <w:szCs w:val="20"/>
          <w:lang w:val="sl-SI"/>
        </w:rPr>
        <w:lastRenderedPageBreak/>
        <w:t>člena ZDavP-2. Tek zastaranja pravice do odmere davka pretrga vsako uradno dejanje carinskega organa z namenom odmere davka, o katerem je zavezanec obveščen (npr. zapisnik). Po pretrganju začne zastaranje znova teči in se čas, ki je pretekel pred pretrganjem, ne šteje v petletni zastaralni rok iz prvega odstavka 125. člena ZDavP-2.</w:t>
      </w:r>
    </w:p>
    <w:p w:rsidR="00970B45" w:rsidRPr="00970B45" w:rsidRDefault="00970B45" w:rsidP="00970B45">
      <w:pPr>
        <w:jc w:val="both"/>
        <w:rPr>
          <w:rFonts w:cs="Arial"/>
          <w:noProof/>
          <w:szCs w:val="20"/>
          <w:lang w:val="sl-SI"/>
        </w:rPr>
      </w:pPr>
      <w:r w:rsidRPr="00970B45">
        <w:rPr>
          <w:rFonts w:cs="Arial"/>
          <w:noProof/>
          <w:szCs w:val="20"/>
          <w:lang w:val="sl-SI"/>
        </w:rPr>
        <w:t>Na podlagi določbe 103(3) CZU se tek zastaralnih rokov, določenih v členih 103(1) in (2) CZU,  zadrži kadar:</w:t>
      </w:r>
    </w:p>
    <w:p w:rsidR="00970B45" w:rsidRPr="00970B45" w:rsidRDefault="00970B45" w:rsidP="00970B45">
      <w:pPr>
        <w:pStyle w:val="Odstavekseznama"/>
        <w:numPr>
          <w:ilvl w:val="0"/>
          <w:numId w:val="11"/>
        </w:numPr>
        <w:spacing w:after="0" w:line="260" w:lineRule="atLeast"/>
        <w:jc w:val="both"/>
        <w:rPr>
          <w:rFonts w:ascii="Arial" w:hAnsi="Arial" w:cs="Arial"/>
          <w:noProof/>
          <w:sz w:val="20"/>
          <w:szCs w:val="20"/>
        </w:rPr>
      </w:pPr>
      <w:r w:rsidRPr="00970B45">
        <w:rPr>
          <w:rFonts w:ascii="Arial" w:hAnsi="Arial" w:cs="Arial"/>
          <w:noProof/>
          <w:sz w:val="20"/>
          <w:szCs w:val="20"/>
        </w:rPr>
        <w:t xml:space="preserve"> je vložena pritožba v skladu s členom 44 CZU, od dne vložitve pritožbe dokler traja pritožbeni postopek. </w:t>
      </w:r>
    </w:p>
    <w:p w:rsidR="00970B45" w:rsidRPr="00970B45" w:rsidRDefault="00970B45" w:rsidP="00970B45">
      <w:pPr>
        <w:jc w:val="both"/>
        <w:rPr>
          <w:rFonts w:cs="Arial"/>
          <w:noProof/>
          <w:szCs w:val="20"/>
          <w:lang w:val="sl-SI"/>
        </w:rPr>
      </w:pPr>
    </w:p>
    <w:p w:rsidR="00970B45" w:rsidRPr="00970B45" w:rsidRDefault="00970B45" w:rsidP="00970B45">
      <w:pPr>
        <w:jc w:val="both"/>
        <w:rPr>
          <w:rFonts w:cs="Arial"/>
          <w:noProof/>
          <w:szCs w:val="20"/>
          <w:lang w:val="sl-SI"/>
        </w:rPr>
      </w:pPr>
      <w:r w:rsidRPr="00970B45">
        <w:rPr>
          <w:rFonts w:cs="Arial"/>
          <w:noProof/>
          <w:szCs w:val="20"/>
          <w:lang w:val="sl-SI"/>
        </w:rPr>
        <w:t>Pri tem velja, da zastaralni roki ne tečejo v času odločanja o pritožbi ter v času odločanja o drugih pravnih sredstvih (vključno z revizijo). Pojma pritožbe v carinski zakonodaji ni mogoče enačiti s pojmom pritožbe po ZUP oziroma ZDavP-2, v skladu z določbo 44(2) CZU se namreč pravica do pritožbe lahko uveljavlja najmanj na dveh stopnjah</w:t>
      </w:r>
      <w:r w:rsidRPr="00970B45">
        <w:rPr>
          <w:rStyle w:val="Sprotnaopomba-sklic"/>
          <w:rFonts w:cs="Arial"/>
          <w:noProof/>
          <w:szCs w:val="20"/>
          <w:lang w:val="sl-SI"/>
        </w:rPr>
        <w:footnoteReference w:id="18"/>
      </w:r>
      <w:r w:rsidRPr="00970B45">
        <w:rPr>
          <w:rFonts w:cs="Arial"/>
          <w:noProof/>
          <w:szCs w:val="20"/>
          <w:lang w:val="sl-SI"/>
        </w:rPr>
        <w:t xml:space="preserve">. </w:t>
      </w:r>
    </w:p>
    <w:p w:rsidR="00970B45" w:rsidRPr="00970B45" w:rsidRDefault="00970B45" w:rsidP="00970B45">
      <w:pPr>
        <w:jc w:val="both"/>
        <w:rPr>
          <w:rFonts w:cs="Arial"/>
          <w:noProof/>
          <w:szCs w:val="20"/>
          <w:lang w:val="sl-SI"/>
        </w:rPr>
      </w:pPr>
    </w:p>
    <w:p w:rsidR="00970B45" w:rsidRPr="00970B45" w:rsidRDefault="00970B45" w:rsidP="00970B45">
      <w:pPr>
        <w:pStyle w:val="Odstavekseznama"/>
        <w:numPr>
          <w:ilvl w:val="0"/>
          <w:numId w:val="11"/>
        </w:numPr>
        <w:spacing w:after="0" w:line="260" w:lineRule="atLeast"/>
        <w:jc w:val="both"/>
        <w:rPr>
          <w:rFonts w:ascii="Arial" w:hAnsi="Arial" w:cs="Arial"/>
          <w:noProof/>
          <w:sz w:val="20"/>
          <w:szCs w:val="20"/>
        </w:rPr>
      </w:pPr>
      <w:r w:rsidRPr="00970B45">
        <w:rPr>
          <w:rFonts w:ascii="Arial" w:hAnsi="Arial" w:cs="Arial"/>
          <w:noProof/>
          <w:sz w:val="20"/>
          <w:szCs w:val="20"/>
        </w:rPr>
        <w:t>carinski organ dolžnika v skladu s členom 22(6) CZU obvestijo o razlogih, zaradi katerih ga nameravajo obvestiti o carinskem dolgu; tek rokov se zadrži od dne tega obvestila do konca obdobja, v katerem ima dolžnik možnost, da izrazi svoje stališče.</w:t>
      </w:r>
    </w:p>
    <w:p w:rsidR="00970B45" w:rsidRPr="00970B45" w:rsidRDefault="00970B45" w:rsidP="00970B45">
      <w:pPr>
        <w:jc w:val="both"/>
        <w:rPr>
          <w:rFonts w:cs="Arial"/>
          <w:noProof/>
          <w:szCs w:val="20"/>
          <w:lang w:val="sl-SI"/>
        </w:rPr>
      </w:pPr>
    </w:p>
    <w:p w:rsidR="00970B45" w:rsidRPr="00970B45" w:rsidRDefault="00970B45" w:rsidP="00970B45">
      <w:pPr>
        <w:jc w:val="both"/>
        <w:rPr>
          <w:rFonts w:cs="Arial"/>
          <w:noProof/>
          <w:szCs w:val="20"/>
          <w:lang w:val="sl-SI"/>
        </w:rPr>
      </w:pPr>
      <w:r w:rsidRPr="00970B45">
        <w:rPr>
          <w:rFonts w:cs="Arial"/>
          <w:noProof/>
          <w:szCs w:val="20"/>
          <w:lang w:val="sl-SI"/>
        </w:rPr>
        <w:t xml:space="preserve">Tek zastaralnih rokov je zadržan zaradi pravice do izjave, ki se uveljavi s pripombami na zapisnik v roku 30 dni od vročitve zapisnika, in sicer traja zadržanje zastaranja od dneva vročitve zapisnika do izteka roka za pripombe. </w:t>
      </w:r>
    </w:p>
    <w:p w:rsidR="00970B45" w:rsidRPr="00970B45" w:rsidRDefault="00970B45" w:rsidP="00970B45">
      <w:pPr>
        <w:pStyle w:val="Naslov3"/>
        <w:spacing w:line="240" w:lineRule="exact"/>
        <w:ind w:left="720"/>
        <w:rPr>
          <w:rFonts w:ascii="Arial" w:hAnsi="Arial" w:cs="Arial"/>
          <w:noProof/>
          <w:sz w:val="20"/>
          <w:szCs w:val="20"/>
          <w:lang w:val="sl-SI"/>
        </w:rPr>
      </w:pPr>
      <w:r w:rsidRPr="00970B45">
        <w:rPr>
          <w:rStyle w:val="Poudarek"/>
          <w:rFonts w:ascii="Arial" w:hAnsi="Arial" w:cs="Arial"/>
          <w:noProof/>
          <w:sz w:val="20"/>
          <w:szCs w:val="20"/>
          <w:lang w:val="sl-SI"/>
        </w:rPr>
        <w:t xml:space="preserve">          </w:t>
      </w:r>
      <w:bookmarkStart w:id="18" w:name="_GoBack"/>
      <w:bookmarkEnd w:id="0"/>
      <w:bookmarkEnd w:id="18"/>
    </w:p>
    <w:sectPr w:rsidR="00970B45" w:rsidRPr="00970B45" w:rsidSect="00F0025B">
      <w:headerReference w:type="default" r:id="rId12"/>
      <w:footerReference w:type="default" r:id="rId13"/>
      <w:headerReference w:type="first" r:id="rId14"/>
      <w:footerReference w:type="first" r:id="rId15"/>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6F" w:rsidRDefault="00DB436F">
      <w:pPr>
        <w:spacing w:line="240" w:lineRule="auto"/>
      </w:pPr>
      <w:r>
        <w:separator/>
      </w:r>
    </w:p>
  </w:endnote>
  <w:endnote w:type="continuationSeparator" w:id="0">
    <w:p w:rsidR="00DB436F" w:rsidRDefault="00DB4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1" w:rsidRDefault="0007347A"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736D6">
      <w:rPr>
        <w:rFonts w:cs="Arial"/>
        <w:noProof/>
        <w:sz w:val="16"/>
      </w:rPr>
      <w:t>8</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736D6">
      <w:rPr>
        <w:rFonts w:cs="Arial"/>
        <w:noProof/>
        <w:sz w:val="16"/>
      </w:rPr>
      <w:t>9</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1" w:rsidRDefault="0007347A"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736D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736D6">
      <w:rPr>
        <w:rFonts w:cs="Arial"/>
        <w:noProof/>
        <w:sz w:val="16"/>
      </w:rPr>
      <w:t>9</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6F" w:rsidRDefault="00DB436F">
      <w:pPr>
        <w:spacing w:line="240" w:lineRule="auto"/>
      </w:pPr>
      <w:r>
        <w:separator/>
      </w:r>
    </w:p>
  </w:footnote>
  <w:footnote w:type="continuationSeparator" w:id="0">
    <w:p w:rsidR="00DB436F" w:rsidRDefault="00DB436F">
      <w:pPr>
        <w:spacing w:line="240" w:lineRule="auto"/>
      </w:pPr>
      <w:r>
        <w:continuationSeparator/>
      </w:r>
    </w:p>
  </w:footnote>
  <w:footnote w:id="1">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Tone Jerovšek in dr., Zakon o davčnem postopku: s komentarjem (2008), str. 298</w:t>
      </w:r>
    </w:p>
  </w:footnote>
  <w:footnote w:id="2">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w:t>
      </w:r>
      <w:hyperlink r:id="rId1" w:history="1">
        <w:r w:rsidRPr="00403F2B">
          <w:rPr>
            <w:rStyle w:val="Hiperpovezava"/>
            <w:rFonts w:ascii="Arial" w:hAnsi="Arial" w:cs="Arial"/>
            <w:shd w:val="clear" w:color="auto" w:fill="FFFFFF"/>
          </w:rPr>
          <w:t>Sodba X </w:t>
        </w:r>
        <w:proofErr w:type="spellStart"/>
        <w:r w:rsidRPr="00403F2B">
          <w:rPr>
            <w:rStyle w:val="Hiperpovezava"/>
            <w:rFonts w:ascii="Arial" w:hAnsi="Arial" w:cs="Arial"/>
            <w:shd w:val="clear" w:color="auto" w:fill="FFFFFF"/>
          </w:rPr>
          <w:t>Ips</w:t>
        </w:r>
        <w:proofErr w:type="spellEnd"/>
        <w:r w:rsidRPr="00403F2B">
          <w:rPr>
            <w:rStyle w:val="Hiperpovezava"/>
            <w:rFonts w:ascii="Arial" w:hAnsi="Arial" w:cs="Arial"/>
            <w:shd w:val="clear" w:color="auto" w:fill="FFFFFF"/>
          </w:rPr>
          <w:t> 799/2005</w:t>
        </w:r>
      </w:hyperlink>
    </w:p>
  </w:footnote>
  <w:footnote w:id="3">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16. točka sodbe Vrhovnega sodišča </w:t>
      </w:r>
      <w:hyperlink r:id="rId2" w:history="1">
        <w:r w:rsidRPr="00403F2B">
          <w:rPr>
            <w:rStyle w:val="Hiperpovezava"/>
            <w:rFonts w:ascii="Arial" w:hAnsi="Arial" w:cs="Arial"/>
          </w:rPr>
          <w:t xml:space="preserve">X </w:t>
        </w:r>
        <w:proofErr w:type="spellStart"/>
        <w:r w:rsidRPr="00403F2B">
          <w:rPr>
            <w:rStyle w:val="Hiperpovezava"/>
            <w:rFonts w:ascii="Arial" w:hAnsi="Arial" w:cs="Arial"/>
          </w:rPr>
          <w:t>Ips</w:t>
        </w:r>
        <w:proofErr w:type="spellEnd"/>
        <w:r w:rsidRPr="00403F2B">
          <w:rPr>
            <w:rStyle w:val="Hiperpovezava"/>
            <w:rFonts w:ascii="Arial" w:hAnsi="Arial" w:cs="Arial"/>
          </w:rPr>
          <w:t xml:space="preserve"> 1431/2006</w:t>
        </w:r>
      </w:hyperlink>
      <w:r w:rsidRPr="00403F2B">
        <w:rPr>
          <w:rFonts w:ascii="Arial" w:hAnsi="Arial" w:cs="Arial"/>
        </w:rPr>
        <w:t xml:space="preserve"> z dne 1. 4. 2010. Isto stališče najdemo tudi v 10. točki sodbe Upravnega sodišča </w:t>
      </w:r>
      <w:hyperlink r:id="rId3" w:history="1">
        <w:r w:rsidRPr="00403F2B">
          <w:rPr>
            <w:rStyle w:val="Hiperpovezava"/>
            <w:rFonts w:ascii="Arial" w:hAnsi="Arial" w:cs="Arial"/>
          </w:rPr>
          <w:t>I U 1136/2015</w:t>
        </w:r>
      </w:hyperlink>
      <w:r w:rsidRPr="00403F2B">
        <w:rPr>
          <w:rFonts w:ascii="Arial" w:hAnsi="Arial" w:cs="Arial"/>
        </w:rPr>
        <w:t xml:space="preserve"> z dne 10. 11. 2015</w:t>
      </w:r>
    </w:p>
  </w:footnote>
  <w:footnote w:id="4">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11. točka sodbe Upravnega sodišča </w:t>
      </w:r>
      <w:hyperlink r:id="rId4" w:history="1">
        <w:r w:rsidRPr="00403F2B">
          <w:rPr>
            <w:rStyle w:val="Hiperpovezava"/>
            <w:rFonts w:ascii="Arial" w:hAnsi="Arial" w:cs="Arial"/>
          </w:rPr>
          <w:t>I U 1138/2015</w:t>
        </w:r>
      </w:hyperlink>
      <w:r w:rsidRPr="00403F2B">
        <w:rPr>
          <w:rFonts w:ascii="Arial" w:hAnsi="Arial" w:cs="Arial"/>
        </w:rPr>
        <w:t xml:space="preserve"> z dne 24. 5. 2016. Enako tudi v sodbi Upravnega sodišča </w:t>
      </w:r>
      <w:hyperlink r:id="rId5" w:history="1">
        <w:r w:rsidRPr="00403F2B">
          <w:rPr>
            <w:rStyle w:val="Hiperpovezava"/>
            <w:rFonts w:ascii="Arial" w:hAnsi="Arial" w:cs="Arial"/>
          </w:rPr>
          <w:t>II U 101/2011</w:t>
        </w:r>
      </w:hyperlink>
      <w:r w:rsidRPr="00403F2B">
        <w:rPr>
          <w:rFonts w:ascii="Arial" w:hAnsi="Arial" w:cs="Arial"/>
        </w:rPr>
        <w:t xml:space="preserve"> z dne 13. 6. 2012.</w:t>
      </w:r>
    </w:p>
  </w:footnote>
  <w:footnote w:id="5">
    <w:p w:rsidR="00970B45" w:rsidRPr="00970B45" w:rsidRDefault="00970B45" w:rsidP="00970B45">
      <w:pPr>
        <w:jc w:val="both"/>
        <w:rPr>
          <w:rFonts w:cs="Arial"/>
          <w:lang w:val="sl-SI"/>
        </w:rPr>
      </w:pPr>
      <w:r w:rsidRPr="00403F2B">
        <w:rPr>
          <w:rStyle w:val="Sprotnaopomba-sklic"/>
          <w:rFonts w:cs="Arial"/>
          <w:szCs w:val="20"/>
        </w:rPr>
        <w:footnoteRef/>
      </w:r>
      <w:r w:rsidRPr="00970B45">
        <w:rPr>
          <w:rFonts w:cs="Arial"/>
          <w:szCs w:val="20"/>
          <w:lang w:val="sl-SI"/>
        </w:rPr>
        <w:t xml:space="preserve"> 8. točka sodbe Vrhovnega sodišča </w:t>
      </w:r>
      <w:hyperlink r:id="rId6" w:history="1">
        <w:r w:rsidRPr="00970B45">
          <w:rPr>
            <w:rStyle w:val="Hiperpovezava"/>
            <w:rFonts w:cs="Arial"/>
            <w:szCs w:val="20"/>
            <w:lang w:val="sl-SI"/>
          </w:rPr>
          <w:t xml:space="preserve">X </w:t>
        </w:r>
        <w:proofErr w:type="spellStart"/>
        <w:r w:rsidRPr="00970B45">
          <w:rPr>
            <w:rStyle w:val="Hiperpovezava"/>
            <w:rFonts w:cs="Arial"/>
            <w:szCs w:val="20"/>
            <w:lang w:val="sl-SI"/>
          </w:rPr>
          <w:t>Ips</w:t>
        </w:r>
        <w:proofErr w:type="spellEnd"/>
        <w:r w:rsidRPr="00970B45">
          <w:rPr>
            <w:rStyle w:val="Hiperpovezava"/>
            <w:rFonts w:cs="Arial"/>
            <w:szCs w:val="20"/>
            <w:lang w:val="sl-SI"/>
          </w:rPr>
          <w:t xml:space="preserve"> 799/2005</w:t>
        </w:r>
      </w:hyperlink>
      <w:r w:rsidRPr="00970B45">
        <w:rPr>
          <w:rFonts w:cs="Arial"/>
          <w:szCs w:val="20"/>
          <w:lang w:val="sl-SI"/>
        </w:rPr>
        <w:t xml:space="preserve"> z dne 21. 5. 2009.</w:t>
      </w:r>
    </w:p>
  </w:footnote>
  <w:footnote w:id="6">
    <w:p w:rsidR="00970B45" w:rsidRDefault="00970B45" w:rsidP="00970B45">
      <w:pPr>
        <w:pStyle w:val="Sprotnaopomba-besedilo"/>
      </w:pPr>
      <w:r>
        <w:rPr>
          <w:rStyle w:val="Sprotnaopomba-sklic"/>
        </w:rPr>
        <w:footnoteRef/>
      </w:r>
      <w:r>
        <w:t xml:space="preserve"> </w:t>
      </w:r>
      <w:hyperlink r:id="rId7" w:history="1">
        <w:r w:rsidRPr="000C3B57">
          <w:rPr>
            <w:rFonts w:ascii="Arial" w:hAnsi="Arial" w:cs="Arial"/>
            <w:color w:val="0000FF" w:themeColor="hyperlink"/>
            <w:u w:val="single"/>
            <w:shd w:val="clear" w:color="auto" w:fill="FFFFFF"/>
          </w:rPr>
          <w:t xml:space="preserve">Sodba X </w:t>
        </w:r>
        <w:proofErr w:type="spellStart"/>
        <w:r w:rsidRPr="000C3B57">
          <w:rPr>
            <w:rFonts w:ascii="Arial" w:hAnsi="Arial" w:cs="Arial"/>
            <w:color w:val="0000FF" w:themeColor="hyperlink"/>
            <w:u w:val="single"/>
            <w:shd w:val="clear" w:color="auto" w:fill="FFFFFF"/>
          </w:rPr>
          <w:t>Ips</w:t>
        </w:r>
        <w:proofErr w:type="spellEnd"/>
        <w:r w:rsidRPr="000C3B57">
          <w:rPr>
            <w:rFonts w:ascii="Arial" w:hAnsi="Arial" w:cs="Arial"/>
            <w:color w:val="0000FF" w:themeColor="hyperlink"/>
            <w:u w:val="single"/>
            <w:shd w:val="clear" w:color="auto" w:fill="FFFFFF"/>
          </w:rPr>
          <w:t xml:space="preserve"> 37/2011</w:t>
        </w:r>
      </w:hyperlink>
    </w:p>
  </w:footnote>
  <w:footnote w:id="7">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Prvi odstavek 87. člena ZDavP-2</w:t>
      </w:r>
    </w:p>
  </w:footnote>
  <w:footnote w:id="8">
    <w:p w:rsidR="00970B45" w:rsidRPr="00970B45" w:rsidRDefault="00970B45" w:rsidP="00970B45">
      <w:pPr>
        <w:jc w:val="both"/>
        <w:rPr>
          <w:rFonts w:cs="Arial"/>
          <w:szCs w:val="20"/>
          <w:lang w:val="sl-SI"/>
        </w:rPr>
      </w:pPr>
      <w:r w:rsidRPr="00403F2B">
        <w:rPr>
          <w:rStyle w:val="Sprotnaopomba-sklic"/>
          <w:rFonts w:cs="Arial"/>
          <w:szCs w:val="20"/>
        </w:rPr>
        <w:footnoteRef/>
      </w:r>
      <w:r w:rsidRPr="00970B45">
        <w:rPr>
          <w:rFonts w:cs="Arial"/>
          <w:szCs w:val="20"/>
          <w:lang w:val="sl-SI"/>
        </w:rPr>
        <w:t xml:space="preserve"> 8. točka sodbe Vrhovnega sodišča </w:t>
      </w:r>
      <w:hyperlink r:id="rId8" w:history="1">
        <w:r w:rsidRPr="00970B45">
          <w:rPr>
            <w:rStyle w:val="Hiperpovezava"/>
            <w:rFonts w:cs="Arial"/>
            <w:szCs w:val="20"/>
            <w:lang w:val="sl-SI"/>
          </w:rPr>
          <w:t xml:space="preserve">X </w:t>
        </w:r>
        <w:proofErr w:type="spellStart"/>
        <w:r w:rsidRPr="00970B45">
          <w:rPr>
            <w:rStyle w:val="Hiperpovezava"/>
            <w:rFonts w:cs="Arial"/>
            <w:szCs w:val="20"/>
            <w:lang w:val="sl-SI"/>
          </w:rPr>
          <w:t>Ips</w:t>
        </w:r>
        <w:proofErr w:type="spellEnd"/>
        <w:r w:rsidRPr="00970B45">
          <w:rPr>
            <w:rStyle w:val="Hiperpovezava"/>
            <w:rFonts w:cs="Arial"/>
            <w:szCs w:val="20"/>
            <w:lang w:val="sl-SI"/>
          </w:rPr>
          <w:t xml:space="preserve"> 799/2005</w:t>
        </w:r>
      </w:hyperlink>
      <w:r w:rsidRPr="00970B45">
        <w:rPr>
          <w:rFonts w:cs="Arial"/>
          <w:szCs w:val="20"/>
          <w:lang w:val="sl-SI"/>
        </w:rPr>
        <w:t xml:space="preserve"> z dne 21. 5. 2009 ter tudi </w:t>
      </w:r>
      <w:r w:rsidRPr="00970B45">
        <w:rPr>
          <w:lang w:val="sl-SI"/>
        </w:rPr>
        <w:t xml:space="preserve"> </w:t>
      </w:r>
      <w:hyperlink r:id="rId9" w:history="1">
        <w:r w:rsidRPr="00970B45">
          <w:rPr>
            <w:rFonts w:cs="Arial"/>
            <w:color w:val="0000FF" w:themeColor="hyperlink"/>
            <w:szCs w:val="20"/>
            <w:u w:val="single"/>
            <w:shd w:val="clear" w:color="auto" w:fill="FFFFFF"/>
            <w:lang w:val="sl-SI"/>
          </w:rPr>
          <w:t>Sodba I Up 1496/2003</w:t>
        </w:r>
      </w:hyperlink>
    </w:p>
    <w:p w:rsidR="00970B45" w:rsidRDefault="00970B45" w:rsidP="00970B45">
      <w:pPr>
        <w:pStyle w:val="Sprotnaopomba-besedilo"/>
      </w:pPr>
    </w:p>
  </w:footnote>
  <w:footnote w:id="9">
    <w:p w:rsidR="00970B45" w:rsidRDefault="00970B45" w:rsidP="00970B45">
      <w:pPr>
        <w:pStyle w:val="Sprotnaopomba-besedilo"/>
      </w:pPr>
      <w:r>
        <w:rPr>
          <w:rStyle w:val="Sprotnaopomba-sklic"/>
        </w:rPr>
        <w:footnoteRef/>
      </w:r>
      <w:r>
        <w:t xml:space="preserve"> Testen v pritrdilnem ločenem mnenju k </w:t>
      </w:r>
      <w:hyperlink r:id="rId10" w:history="1">
        <w:r w:rsidRPr="00FE48E1">
          <w:rPr>
            <w:rStyle w:val="Hiperpovezava"/>
          </w:rPr>
          <w:t>sklepu</w:t>
        </w:r>
      </w:hyperlink>
      <w:r>
        <w:t xml:space="preserve"> Ustavnega sodišča U-I-45/99 z dne 6. 12. 2001</w:t>
      </w:r>
    </w:p>
  </w:footnote>
  <w:footnote w:id="10">
    <w:p w:rsidR="00970B45" w:rsidRDefault="00970B45" w:rsidP="00970B45">
      <w:pPr>
        <w:pStyle w:val="Sprotnaopomba-besedilo"/>
      </w:pPr>
      <w:r>
        <w:rPr>
          <w:rStyle w:val="Sprotnaopomba-sklic"/>
        </w:rPr>
        <w:footnoteRef/>
      </w:r>
      <w:r>
        <w:t xml:space="preserve"> Dan po dnevu zapadlosti je datum izvršljivosti izvršilnega naslova </w:t>
      </w:r>
    </w:p>
  </w:footnote>
  <w:footnote w:id="11">
    <w:p w:rsidR="00970B45" w:rsidRPr="00403F2B" w:rsidRDefault="00970B45" w:rsidP="00970B45">
      <w:pPr>
        <w:pStyle w:val="Sprotnaopomba-besedilo"/>
        <w:rPr>
          <w:rFonts w:ascii="Arial" w:hAnsi="Arial" w:cs="Arial"/>
        </w:rPr>
      </w:pPr>
      <w:r w:rsidRPr="00AF7B46">
        <w:rPr>
          <w:rStyle w:val="Sprotnaopomba-sklic"/>
          <w:rFonts w:ascii="Arial" w:hAnsi="Arial" w:cs="Arial"/>
        </w:rPr>
        <w:footnoteRef/>
      </w:r>
      <w:r w:rsidRPr="00AF7B46">
        <w:rPr>
          <w:rFonts w:ascii="Arial" w:hAnsi="Arial" w:cs="Arial"/>
        </w:rPr>
        <w:t xml:space="preserve"> 11. točka sodbe Vrhovnega sodišča </w:t>
      </w:r>
      <w:r w:rsidRPr="00AF7B46">
        <w:rPr>
          <w:rFonts w:ascii="Arial" w:hAnsi="Arial" w:cs="Arial"/>
          <w:shd w:val="clear" w:color="auto" w:fill="FFFFFF"/>
        </w:rPr>
        <w:t xml:space="preserve">Sodba </w:t>
      </w:r>
      <w:hyperlink r:id="rId11" w:history="1">
        <w:r w:rsidRPr="00587992">
          <w:rPr>
            <w:rStyle w:val="Hiperpovezava"/>
            <w:rFonts w:ascii="Arial" w:hAnsi="Arial" w:cs="Arial"/>
            <w:shd w:val="clear" w:color="auto" w:fill="FFFFFF"/>
          </w:rPr>
          <w:t>X </w:t>
        </w:r>
        <w:proofErr w:type="spellStart"/>
        <w:r w:rsidRPr="00587992">
          <w:rPr>
            <w:rStyle w:val="Hiperpovezava"/>
            <w:rFonts w:ascii="Arial" w:hAnsi="Arial" w:cs="Arial"/>
            <w:shd w:val="clear" w:color="auto" w:fill="FFFFFF"/>
          </w:rPr>
          <w:t>Ips</w:t>
        </w:r>
        <w:proofErr w:type="spellEnd"/>
        <w:r w:rsidRPr="00587992">
          <w:rPr>
            <w:rStyle w:val="Hiperpovezava"/>
            <w:rFonts w:ascii="Arial" w:hAnsi="Arial" w:cs="Arial"/>
            <w:shd w:val="clear" w:color="auto" w:fill="FFFFFF"/>
          </w:rPr>
          <w:t> 799/2005</w:t>
        </w:r>
      </w:hyperlink>
    </w:p>
  </w:footnote>
  <w:footnote w:id="12">
    <w:p w:rsidR="00970B45" w:rsidRPr="00AF7B46" w:rsidRDefault="00970B45" w:rsidP="00970B45">
      <w:pPr>
        <w:pStyle w:val="Navadensplet"/>
        <w:shd w:val="clear" w:color="auto" w:fill="FFFFFF"/>
        <w:spacing w:after="0" w:line="336" w:lineRule="atLeast"/>
        <w:textAlignment w:val="baseline"/>
        <w:rPr>
          <w:rFonts w:ascii="Arial" w:hAnsi="Arial" w:cs="Arial"/>
        </w:rPr>
      </w:pPr>
      <w:r w:rsidRPr="00AF7B46">
        <w:rPr>
          <w:rStyle w:val="Sprotnaopomba-sklic"/>
          <w:rFonts w:ascii="Arial" w:hAnsi="Arial" w:cs="Arial"/>
          <w:sz w:val="20"/>
          <w:szCs w:val="20"/>
        </w:rPr>
        <w:footnoteRef/>
      </w:r>
      <w:r w:rsidRPr="00AF7B46">
        <w:rPr>
          <w:rFonts w:ascii="Arial" w:hAnsi="Arial" w:cs="Arial"/>
          <w:sz w:val="20"/>
          <w:szCs w:val="20"/>
        </w:rPr>
        <w:t xml:space="preserve"> VSRS </w:t>
      </w:r>
      <w:hyperlink r:id="rId12" w:history="1">
        <w:r w:rsidRPr="00AF7B46">
          <w:rPr>
            <w:rStyle w:val="Hiperpovezava"/>
            <w:rFonts w:ascii="Arial" w:hAnsi="Arial" w:cs="Arial"/>
            <w:sz w:val="20"/>
            <w:szCs w:val="20"/>
          </w:rPr>
          <w:t xml:space="preserve">Sklep X </w:t>
        </w:r>
        <w:proofErr w:type="spellStart"/>
        <w:r w:rsidRPr="00AF7B46">
          <w:rPr>
            <w:rStyle w:val="Hiperpovezava"/>
            <w:rFonts w:ascii="Arial" w:hAnsi="Arial" w:cs="Arial"/>
            <w:sz w:val="20"/>
            <w:szCs w:val="20"/>
          </w:rPr>
          <w:t>Ips</w:t>
        </w:r>
        <w:proofErr w:type="spellEnd"/>
        <w:r w:rsidRPr="00AF7B46">
          <w:rPr>
            <w:rStyle w:val="Hiperpovezava"/>
            <w:rFonts w:ascii="Arial" w:hAnsi="Arial" w:cs="Arial"/>
            <w:sz w:val="20"/>
            <w:szCs w:val="20"/>
          </w:rPr>
          <w:t> 221/2017 z dne 6.11.2019</w:t>
        </w:r>
      </w:hyperlink>
      <w:r w:rsidRPr="00AF7B46">
        <w:rPr>
          <w:rFonts w:ascii="Arial" w:hAnsi="Arial" w:cs="Arial"/>
          <w:sz w:val="20"/>
          <w:szCs w:val="20"/>
        </w:rPr>
        <w:t xml:space="preserve"> </w:t>
      </w:r>
    </w:p>
  </w:footnote>
  <w:footnote w:id="13">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15. točka sodbe Vrhovnega sodišča </w:t>
      </w:r>
      <w:hyperlink r:id="rId13" w:history="1">
        <w:r w:rsidRPr="001278D6">
          <w:rPr>
            <w:rStyle w:val="Hiperpovezava"/>
            <w:rFonts w:ascii="Arial" w:hAnsi="Arial" w:cs="Arial"/>
          </w:rPr>
          <w:t xml:space="preserve">X </w:t>
        </w:r>
        <w:proofErr w:type="spellStart"/>
        <w:r w:rsidRPr="001278D6">
          <w:rPr>
            <w:rStyle w:val="Hiperpovezava"/>
            <w:rFonts w:ascii="Arial" w:hAnsi="Arial" w:cs="Arial"/>
          </w:rPr>
          <w:t>Ips</w:t>
        </w:r>
        <w:proofErr w:type="spellEnd"/>
        <w:r w:rsidRPr="001278D6">
          <w:rPr>
            <w:rStyle w:val="Hiperpovezava"/>
            <w:rFonts w:ascii="Arial" w:hAnsi="Arial" w:cs="Arial"/>
          </w:rPr>
          <w:t xml:space="preserve"> 1405/2006</w:t>
        </w:r>
      </w:hyperlink>
      <w:r w:rsidRPr="00403F2B">
        <w:rPr>
          <w:rFonts w:ascii="Arial" w:hAnsi="Arial" w:cs="Arial"/>
        </w:rPr>
        <w:t xml:space="preserve"> z dne 23. 4. 2010</w:t>
      </w:r>
    </w:p>
  </w:footnote>
  <w:footnote w:id="14">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w:t>
      </w:r>
      <w:r w:rsidRPr="00403F2B">
        <w:rPr>
          <w:rFonts w:ascii="Arial" w:hAnsi="Arial" w:cs="Arial"/>
          <w:shd w:val="clear" w:color="auto" w:fill="FFFFFF"/>
        </w:rPr>
        <w:t xml:space="preserve">VSRS Sodba </w:t>
      </w:r>
      <w:hyperlink r:id="rId14" w:history="1">
        <w:r w:rsidRPr="001278D6">
          <w:rPr>
            <w:rStyle w:val="Hiperpovezava"/>
            <w:rFonts w:ascii="Arial" w:hAnsi="Arial" w:cs="Arial"/>
            <w:shd w:val="clear" w:color="auto" w:fill="FFFFFF"/>
          </w:rPr>
          <w:t xml:space="preserve">X </w:t>
        </w:r>
        <w:proofErr w:type="spellStart"/>
        <w:r w:rsidRPr="001278D6">
          <w:rPr>
            <w:rStyle w:val="Hiperpovezava"/>
            <w:rFonts w:ascii="Arial" w:hAnsi="Arial" w:cs="Arial"/>
            <w:shd w:val="clear" w:color="auto" w:fill="FFFFFF"/>
          </w:rPr>
          <w:t>Ips</w:t>
        </w:r>
        <w:proofErr w:type="spellEnd"/>
        <w:r w:rsidRPr="001278D6">
          <w:rPr>
            <w:rStyle w:val="Hiperpovezava"/>
            <w:rFonts w:ascii="Arial" w:hAnsi="Arial" w:cs="Arial"/>
            <w:shd w:val="clear" w:color="auto" w:fill="FFFFFF"/>
          </w:rPr>
          <w:t xml:space="preserve"> 375/2016</w:t>
        </w:r>
      </w:hyperlink>
      <w:r w:rsidRPr="00403F2B">
        <w:rPr>
          <w:rFonts w:ascii="Arial" w:hAnsi="Arial" w:cs="Arial"/>
          <w:shd w:val="clear" w:color="auto" w:fill="FFFFFF"/>
        </w:rPr>
        <w:t xml:space="preserve"> z dne 24.10.2018 </w:t>
      </w:r>
    </w:p>
  </w:footnote>
  <w:footnote w:id="15">
    <w:p w:rsidR="00970B45" w:rsidRPr="00403F2B" w:rsidRDefault="00970B45" w:rsidP="00970B45">
      <w:pPr>
        <w:pStyle w:val="Sprotnaopomba-besedilo"/>
        <w:rPr>
          <w:rFonts w:ascii="Arial" w:hAnsi="Arial" w:cs="Arial"/>
        </w:rPr>
      </w:pPr>
      <w:r w:rsidRPr="00403F2B">
        <w:rPr>
          <w:rStyle w:val="Sprotnaopomba-sklic"/>
          <w:rFonts w:ascii="Arial" w:hAnsi="Arial" w:cs="Arial"/>
        </w:rPr>
        <w:footnoteRef/>
      </w:r>
      <w:r w:rsidRPr="00403F2B">
        <w:rPr>
          <w:rFonts w:ascii="Arial" w:hAnsi="Arial" w:cs="Arial"/>
        </w:rPr>
        <w:t xml:space="preserve"> 11. točka sodbe Vrhovnega sodišča </w:t>
      </w:r>
      <w:hyperlink r:id="rId15" w:history="1">
        <w:r w:rsidRPr="001278D6">
          <w:rPr>
            <w:rStyle w:val="Hiperpovezava"/>
            <w:rFonts w:ascii="Arial" w:hAnsi="Arial" w:cs="Arial"/>
          </w:rPr>
          <w:t xml:space="preserve">X </w:t>
        </w:r>
        <w:proofErr w:type="spellStart"/>
        <w:r w:rsidRPr="001278D6">
          <w:rPr>
            <w:rStyle w:val="Hiperpovezava"/>
            <w:rFonts w:ascii="Arial" w:hAnsi="Arial" w:cs="Arial"/>
          </w:rPr>
          <w:t>Ips</w:t>
        </w:r>
        <w:proofErr w:type="spellEnd"/>
        <w:r w:rsidRPr="001278D6">
          <w:rPr>
            <w:rStyle w:val="Hiperpovezava"/>
            <w:rFonts w:ascii="Arial" w:hAnsi="Arial" w:cs="Arial"/>
          </w:rPr>
          <w:t xml:space="preserve"> 375/2016</w:t>
        </w:r>
      </w:hyperlink>
      <w:r w:rsidRPr="00403F2B">
        <w:rPr>
          <w:rFonts w:ascii="Arial" w:hAnsi="Arial" w:cs="Arial"/>
        </w:rPr>
        <w:t xml:space="preserve"> z dne 24. 10. 2018. V 10. točki iste sodbe sodišče zavzame stališče, da sama določba prvega odstavka 126. člena ZDavP-2 ne zahteva točne navedbe davka v sklepu davčnega inšpekcijskega nadzora, saj ne določa, da bi moralo biti uradno dejanje davčnega organa izvedeno v namene odmere točno določene vrste davka, temveč zadošča zgolj splošen namen odmere. Bistveno je sporočilo davčnemu zavezancu, da lahko glede njegovih preteklih davčnih obveznosti pride do spremembe.</w:t>
      </w:r>
    </w:p>
  </w:footnote>
  <w:footnote w:id="16">
    <w:p w:rsidR="00970B45" w:rsidRDefault="00970B45" w:rsidP="00970B45">
      <w:pPr>
        <w:pStyle w:val="Sprotnaopomba-besedilo"/>
      </w:pPr>
      <w:r w:rsidRPr="00403F2B">
        <w:rPr>
          <w:rStyle w:val="Sprotnaopomba-sklic"/>
          <w:rFonts w:ascii="Arial" w:hAnsi="Arial" w:cs="Arial"/>
        </w:rPr>
        <w:footnoteRef/>
      </w:r>
      <w:r w:rsidRPr="00403F2B">
        <w:rPr>
          <w:rFonts w:ascii="Arial" w:hAnsi="Arial" w:cs="Arial"/>
        </w:rPr>
        <w:t xml:space="preserve"> </w:t>
      </w:r>
      <w:r w:rsidRPr="00403F2B">
        <w:rPr>
          <w:rFonts w:ascii="Arial" w:hAnsi="Arial" w:cs="Arial"/>
          <w:shd w:val="clear" w:color="auto" w:fill="FFFFFF"/>
        </w:rPr>
        <w:t xml:space="preserve">Vrhovno sodišče v sodbi </w:t>
      </w:r>
      <w:hyperlink r:id="rId16" w:history="1">
        <w:r w:rsidRPr="0017795C">
          <w:rPr>
            <w:rStyle w:val="Hiperpovezava"/>
            <w:rFonts w:ascii="Arial" w:hAnsi="Arial" w:cs="Arial"/>
            <w:shd w:val="clear" w:color="auto" w:fill="FFFFFF"/>
          </w:rPr>
          <w:t xml:space="preserve">X </w:t>
        </w:r>
        <w:proofErr w:type="spellStart"/>
        <w:r w:rsidRPr="0017795C">
          <w:rPr>
            <w:rStyle w:val="Hiperpovezava"/>
            <w:rFonts w:ascii="Arial" w:hAnsi="Arial" w:cs="Arial"/>
            <w:shd w:val="clear" w:color="auto" w:fill="FFFFFF"/>
          </w:rPr>
          <w:t>Ips</w:t>
        </w:r>
        <w:proofErr w:type="spellEnd"/>
        <w:r w:rsidRPr="0017795C">
          <w:rPr>
            <w:rStyle w:val="Hiperpovezava"/>
            <w:rFonts w:ascii="Arial" w:hAnsi="Arial" w:cs="Arial"/>
            <w:shd w:val="clear" w:color="auto" w:fill="FFFFFF"/>
          </w:rPr>
          <w:t xml:space="preserve"> 235/2014</w:t>
        </w:r>
      </w:hyperlink>
      <w:r w:rsidRPr="00403F2B">
        <w:rPr>
          <w:rFonts w:ascii="Arial" w:hAnsi="Arial" w:cs="Arial"/>
          <w:shd w:val="clear" w:color="auto" w:fill="FFFFFF"/>
        </w:rPr>
        <w:t xml:space="preserve"> z dne 8. 7. 2015 , enako Vrhovno sodišče v sodbi VSRS Sklep </w:t>
      </w:r>
      <w:hyperlink r:id="rId17" w:history="1">
        <w:r w:rsidRPr="00813043">
          <w:rPr>
            <w:rStyle w:val="Hiperpovezava"/>
            <w:rFonts w:ascii="Arial" w:hAnsi="Arial" w:cs="Arial"/>
            <w:shd w:val="clear" w:color="auto" w:fill="FFFFFF"/>
          </w:rPr>
          <w:t xml:space="preserve">X </w:t>
        </w:r>
        <w:proofErr w:type="spellStart"/>
        <w:r w:rsidRPr="00813043">
          <w:rPr>
            <w:rStyle w:val="Hiperpovezava"/>
            <w:rFonts w:ascii="Arial" w:hAnsi="Arial" w:cs="Arial"/>
            <w:shd w:val="clear" w:color="auto" w:fill="FFFFFF"/>
          </w:rPr>
          <w:t>Ips</w:t>
        </w:r>
        <w:proofErr w:type="spellEnd"/>
        <w:r w:rsidRPr="00813043">
          <w:rPr>
            <w:rStyle w:val="Hiperpovezava"/>
            <w:rFonts w:ascii="Arial" w:hAnsi="Arial" w:cs="Arial"/>
            <w:shd w:val="clear" w:color="auto" w:fill="FFFFFF"/>
          </w:rPr>
          <w:t xml:space="preserve"> 221/2017</w:t>
        </w:r>
      </w:hyperlink>
      <w:r w:rsidRPr="00403F2B">
        <w:rPr>
          <w:rFonts w:ascii="Arial" w:hAnsi="Arial" w:cs="Arial"/>
          <w:shd w:val="clear" w:color="auto" w:fill="FFFFFF"/>
        </w:rPr>
        <w:t xml:space="preserve"> z dne 6.11.2019</w:t>
      </w:r>
      <w:r w:rsidRPr="00403F2B">
        <w:rPr>
          <w:rFonts w:ascii="Arial" w:hAnsi="Arial" w:cs="Arial"/>
          <w:sz w:val="17"/>
          <w:szCs w:val="17"/>
          <w:shd w:val="clear" w:color="auto" w:fill="FFFFFF"/>
        </w:rPr>
        <w:t xml:space="preserve"> </w:t>
      </w:r>
    </w:p>
  </w:footnote>
  <w:footnote w:id="17">
    <w:p w:rsidR="00970B45" w:rsidRPr="00187F71" w:rsidRDefault="00970B45" w:rsidP="00970B45">
      <w:pPr>
        <w:pStyle w:val="Sprotnaopomba-besedilo"/>
      </w:pPr>
      <w:r>
        <w:rPr>
          <w:rStyle w:val="Sprotnaopomba-sklic"/>
        </w:rPr>
        <w:footnoteRef/>
      </w:r>
      <w:r w:rsidRPr="00A76A08">
        <w:t xml:space="preserve"> </w:t>
      </w:r>
      <w:hyperlink r:id="rId18" w:history="1">
        <w:r w:rsidRPr="00A76A08">
          <w:t>Sodba</w:t>
        </w:r>
        <w:r w:rsidRPr="00DB72BC">
          <w:rPr>
            <w:rStyle w:val="Hiperpovezava"/>
          </w:rPr>
          <w:t xml:space="preserve"> Sodišča EU C-62/06</w:t>
        </w:r>
      </w:hyperlink>
    </w:p>
  </w:footnote>
  <w:footnote w:id="18">
    <w:p w:rsidR="00970B45" w:rsidRPr="004E453C" w:rsidRDefault="00970B45" w:rsidP="00970B45">
      <w:pPr>
        <w:pStyle w:val="Sprotnaopomba-besedilo"/>
      </w:pPr>
      <w:r>
        <w:rPr>
          <w:rStyle w:val="Sprotnaopomba-sklic"/>
        </w:rPr>
        <w:footnoteRef/>
      </w:r>
      <w:r>
        <w:t xml:space="preserve"> </w:t>
      </w:r>
      <w:r w:rsidRPr="00DD1E24">
        <w:t xml:space="preserve">Sodba VSRS X </w:t>
      </w:r>
      <w:hyperlink r:id="rId19" w:history="1">
        <w:proofErr w:type="spellStart"/>
        <w:r w:rsidRPr="00DD1E24">
          <w:rPr>
            <w:rStyle w:val="Hiperpovezava"/>
          </w:rPr>
          <w:t>Ips</w:t>
        </w:r>
        <w:proofErr w:type="spellEnd"/>
      </w:hyperlink>
      <w:r w:rsidRPr="00DD1E24">
        <w:t xml:space="preserve"> 43/2016</w:t>
      </w:r>
      <w:r>
        <w:t xml:space="preserve">, tč. 11, </w:t>
      </w:r>
      <w:hyperlink r:id="rId20" w:history="1">
        <w:r w:rsidRPr="00E47116">
          <w:rPr>
            <w:rStyle w:val="Hiperpovezava"/>
          </w:rPr>
          <w:t>Sklep in sodba UPRS I U 1002/2017</w:t>
        </w:r>
      </w:hyperlink>
      <w:r>
        <w:t xml:space="preserve"> tč. 32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D2436">
      <w:trPr>
        <w:cantSplit/>
        <w:trHeight w:hRule="exact" w:val="847"/>
      </w:trPr>
      <w:tc>
        <w:tcPr>
          <w:tcW w:w="567" w:type="dxa"/>
        </w:tcPr>
        <w:p w:rsidR="000B0B21" w:rsidRDefault="0007347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tc>
    </w:tr>
  </w:tbl>
  <w:p w:rsidR="000B0B21" w:rsidRPr="008F3500" w:rsidRDefault="0007347A"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rsidR="000B0B21" w:rsidRPr="00FD746A" w:rsidRDefault="0007347A"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rsidR="00ED7E82" w:rsidRDefault="0007347A"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rsidR="005254D1" w:rsidRPr="00A12D5C" w:rsidRDefault="0007347A" w:rsidP="005254D1">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rsidR="005254D1" w:rsidRPr="008F3500" w:rsidRDefault="0007347A" w:rsidP="005254D1">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5254D1" w:rsidRPr="008F3500" w:rsidRDefault="0007347A"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5254D1" w:rsidRPr="008F3500" w:rsidRDefault="0007347A"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E8C0B15E">
      <w:start w:val="1"/>
      <w:numFmt w:val="decimal"/>
      <w:lvlText w:val="%1."/>
      <w:lvlJc w:val="left"/>
      <w:pPr>
        <w:tabs>
          <w:tab w:val="num" w:pos="1080"/>
        </w:tabs>
        <w:ind w:left="1080" w:hanging="360"/>
      </w:pPr>
      <w:rPr>
        <w:rFonts w:hint="default"/>
      </w:rPr>
    </w:lvl>
    <w:lvl w:ilvl="1" w:tplc="E1CCF6A6" w:tentative="1">
      <w:start w:val="1"/>
      <w:numFmt w:val="lowerLetter"/>
      <w:lvlText w:val="%2."/>
      <w:lvlJc w:val="left"/>
      <w:pPr>
        <w:ind w:left="1800" w:hanging="360"/>
      </w:pPr>
    </w:lvl>
    <w:lvl w:ilvl="2" w:tplc="E50EE040" w:tentative="1">
      <w:start w:val="1"/>
      <w:numFmt w:val="lowerRoman"/>
      <w:lvlText w:val="%3."/>
      <w:lvlJc w:val="right"/>
      <w:pPr>
        <w:ind w:left="2520" w:hanging="180"/>
      </w:pPr>
    </w:lvl>
    <w:lvl w:ilvl="3" w:tplc="B96630C2" w:tentative="1">
      <w:start w:val="1"/>
      <w:numFmt w:val="decimal"/>
      <w:lvlText w:val="%4."/>
      <w:lvlJc w:val="left"/>
      <w:pPr>
        <w:ind w:left="3240" w:hanging="360"/>
      </w:pPr>
    </w:lvl>
    <w:lvl w:ilvl="4" w:tplc="0E5A04F2" w:tentative="1">
      <w:start w:val="1"/>
      <w:numFmt w:val="lowerLetter"/>
      <w:lvlText w:val="%5."/>
      <w:lvlJc w:val="left"/>
      <w:pPr>
        <w:ind w:left="3960" w:hanging="360"/>
      </w:pPr>
    </w:lvl>
    <w:lvl w:ilvl="5" w:tplc="FBFCA434" w:tentative="1">
      <w:start w:val="1"/>
      <w:numFmt w:val="lowerRoman"/>
      <w:lvlText w:val="%6."/>
      <w:lvlJc w:val="right"/>
      <w:pPr>
        <w:ind w:left="4680" w:hanging="180"/>
      </w:pPr>
    </w:lvl>
    <w:lvl w:ilvl="6" w:tplc="EB94409A" w:tentative="1">
      <w:start w:val="1"/>
      <w:numFmt w:val="decimal"/>
      <w:lvlText w:val="%7."/>
      <w:lvlJc w:val="left"/>
      <w:pPr>
        <w:ind w:left="5400" w:hanging="360"/>
      </w:pPr>
    </w:lvl>
    <w:lvl w:ilvl="7" w:tplc="A33A7E46" w:tentative="1">
      <w:start w:val="1"/>
      <w:numFmt w:val="lowerLetter"/>
      <w:lvlText w:val="%8."/>
      <w:lvlJc w:val="left"/>
      <w:pPr>
        <w:ind w:left="6120" w:hanging="360"/>
      </w:pPr>
    </w:lvl>
    <w:lvl w:ilvl="8" w:tplc="CB761164" w:tentative="1">
      <w:start w:val="1"/>
      <w:numFmt w:val="lowerRoman"/>
      <w:lvlText w:val="%9."/>
      <w:lvlJc w:val="right"/>
      <w:pPr>
        <w:ind w:left="6840" w:hanging="180"/>
      </w:pPr>
    </w:lvl>
  </w:abstractNum>
  <w:abstractNum w:abstractNumId="1" w15:restartNumberingAfterBreak="0">
    <w:nsid w:val="0EA0320F"/>
    <w:multiLevelType w:val="hybridMultilevel"/>
    <w:tmpl w:val="4804400C"/>
    <w:lvl w:ilvl="0" w:tplc="B3AC4CCA">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AAF60E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185C12"/>
    <w:multiLevelType w:val="hybridMultilevel"/>
    <w:tmpl w:val="BF06C40C"/>
    <w:lvl w:ilvl="0" w:tplc="E6BA2B9A">
      <w:start w:val="1"/>
      <w:numFmt w:val="decimal"/>
      <w:lvlText w:val="%1."/>
      <w:lvlJc w:val="left"/>
      <w:pPr>
        <w:tabs>
          <w:tab w:val="num" w:pos="360"/>
        </w:tabs>
        <w:ind w:left="360" w:hanging="360"/>
      </w:pPr>
      <w:rPr>
        <w:rFonts w:hint="default"/>
      </w:rPr>
    </w:lvl>
    <w:lvl w:ilvl="1" w:tplc="376C90D6" w:tentative="1">
      <w:start w:val="1"/>
      <w:numFmt w:val="lowerLetter"/>
      <w:lvlText w:val="%2."/>
      <w:lvlJc w:val="left"/>
      <w:pPr>
        <w:ind w:left="1080" w:hanging="360"/>
      </w:pPr>
    </w:lvl>
    <w:lvl w:ilvl="2" w:tplc="D80845E2" w:tentative="1">
      <w:start w:val="1"/>
      <w:numFmt w:val="lowerRoman"/>
      <w:lvlText w:val="%3."/>
      <w:lvlJc w:val="right"/>
      <w:pPr>
        <w:ind w:left="1800" w:hanging="180"/>
      </w:pPr>
    </w:lvl>
    <w:lvl w:ilvl="3" w:tplc="63CE5ACE" w:tentative="1">
      <w:start w:val="1"/>
      <w:numFmt w:val="decimal"/>
      <w:lvlText w:val="%4."/>
      <w:lvlJc w:val="left"/>
      <w:pPr>
        <w:ind w:left="2520" w:hanging="360"/>
      </w:pPr>
    </w:lvl>
    <w:lvl w:ilvl="4" w:tplc="E88CF08E" w:tentative="1">
      <w:start w:val="1"/>
      <w:numFmt w:val="lowerLetter"/>
      <w:lvlText w:val="%5."/>
      <w:lvlJc w:val="left"/>
      <w:pPr>
        <w:ind w:left="3240" w:hanging="360"/>
      </w:pPr>
    </w:lvl>
    <w:lvl w:ilvl="5" w:tplc="1C34770E" w:tentative="1">
      <w:start w:val="1"/>
      <w:numFmt w:val="lowerRoman"/>
      <w:lvlText w:val="%6."/>
      <w:lvlJc w:val="right"/>
      <w:pPr>
        <w:ind w:left="3960" w:hanging="180"/>
      </w:pPr>
    </w:lvl>
    <w:lvl w:ilvl="6" w:tplc="B1DE2A4C" w:tentative="1">
      <w:start w:val="1"/>
      <w:numFmt w:val="decimal"/>
      <w:lvlText w:val="%7."/>
      <w:lvlJc w:val="left"/>
      <w:pPr>
        <w:ind w:left="4680" w:hanging="360"/>
      </w:pPr>
    </w:lvl>
    <w:lvl w:ilvl="7" w:tplc="10B4233A" w:tentative="1">
      <w:start w:val="1"/>
      <w:numFmt w:val="lowerLetter"/>
      <w:lvlText w:val="%8."/>
      <w:lvlJc w:val="left"/>
      <w:pPr>
        <w:ind w:left="5400" w:hanging="360"/>
      </w:pPr>
    </w:lvl>
    <w:lvl w:ilvl="8" w:tplc="D84C664E"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908245EA">
      <w:start w:val="1"/>
      <w:numFmt w:val="decimal"/>
      <w:lvlText w:val="%1."/>
      <w:lvlJc w:val="left"/>
      <w:pPr>
        <w:tabs>
          <w:tab w:val="num" w:pos="720"/>
        </w:tabs>
        <w:ind w:left="720" w:hanging="360"/>
      </w:pPr>
      <w:rPr>
        <w:rFonts w:hint="default"/>
      </w:rPr>
    </w:lvl>
    <w:lvl w:ilvl="1" w:tplc="A5F67584" w:tentative="1">
      <w:start w:val="1"/>
      <w:numFmt w:val="lowerLetter"/>
      <w:lvlText w:val="%2."/>
      <w:lvlJc w:val="left"/>
      <w:pPr>
        <w:tabs>
          <w:tab w:val="num" w:pos="1440"/>
        </w:tabs>
        <w:ind w:left="1440" w:hanging="360"/>
      </w:pPr>
    </w:lvl>
    <w:lvl w:ilvl="2" w:tplc="BA9EC1E2" w:tentative="1">
      <w:start w:val="1"/>
      <w:numFmt w:val="lowerRoman"/>
      <w:lvlText w:val="%3."/>
      <w:lvlJc w:val="right"/>
      <w:pPr>
        <w:tabs>
          <w:tab w:val="num" w:pos="2160"/>
        </w:tabs>
        <w:ind w:left="2160" w:hanging="180"/>
      </w:pPr>
    </w:lvl>
    <w:lvl w:ilvl="3" w:tplc="76BA230E" w:tentative="1">
      <w:start w:val="1"/>
      <w:numFmt w:val="decimal"/>
      <w:lvlText w:val="%4."/>
      <w:lvlJc w:val="left"/>
      <w:pPr>
        <w:tabs>
          <w:tab w:val="num" w:pos="2880"/>
        </w:tabs>
        <w:ind w:left="2880" w:hanging="360"/>
      </w:pPr>
    </w:lvl>
    <w:lvl w:ilvl="4" w:tplc="392CB732" w:tentative="1">
      <w:start w:val="1"/>
      <w:numFmt w:val="lowerLetter"/>
      <w:lvlText w:val="%5."/>
      <w:lvlJc w:val="left"/>
      <w:pPr>
        <w:tabs>
          <w:tab w:val="num" w:pos="3600"/>
        </w:tabs>
        <w:ind w:left="3600" w:hanging="360"/>
      </w:pPr>
    </w:lvl>
    <w:lvl w:ilvl="5" w:tplc="8346BA78" w:tentative="1">
      <w:start w:val="1"/>
      <w:numFmt w:val="lowerRoman"/>
      <w:lvlText w:val="%6."/>
      <w:lvlJc w:val="right"/>
      <w:pPr>
        <w:tabs>
          <w:tab w:val="num" w:pos="4320"/>
        </w:tabs>
        <w:ind w:left="4320" w:hanging="180"/>
      </w:pPr>
    </w:lvl>
    <w:lvl w:ilvl="6" w:tplc="476C53E8" w:tentative="1">
      <w:start w:val="1"/>
      <w:numFmt w:val="decimal"/>
      <w:lvlText w:val="%7."/>
      <w:lvlJc w:val="left"/>
      <w:pPr>
        <w:tabs>
          <w:tab w:val="num" w:pos="5040"/>
        </w:tabs>
        <w:ind w:left="5040" w:hanging="360"/>
      </w:pPr>
    </w:lvl>
    <w:lvl w:ilvl="7" w:tplc="5F300886" w:tentative="1">
      <w:start w:val="1"/>
      <w:numFmt w:val="lowerLetter"/>
      <w:lvlText w:val="%8."/>
      <w:lvlJc w:val="left"/>
      <w:pPr>
        <w:tabs>
          <w:tab w:val="num" w:pos="5760"/>
        </w:tabs>
        <w:ind w:left="5760" w:hanging="360"/>
      </w:pPr>
    </w:lvl>
    <w:lvl w:ilvl="8" w:tplc="4CD04CDA"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273EEE"/>
    <w:multiLevelType w:val="hybridMultilevel"/>
    <w:tmpl w:val="2C4CD138"/>
    <w:lvl w:ilvl="0" w:tplc="CF580738">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721464"/>
    <w:multiLevelType w:val="hybridMultilevel"/>
    <w:tmpl w:val="FD64A09E"/>
    <w:lvl w:ilvl="0" w:tplc="5D2E46EA">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ABC401C4">
      <w:start w:val="1"/>
      <w:numFmt w:val="decimal"/>
      <w:lvlText w:val="%1."/>
      <w:lvlJc w:val="left"/>
      <w:pPr>
        <w:tabs>
          <w:tab w:val="num" w:pos="720"/>
        </w:tabs>
        <w:ind w:left="720" w:hanging="360"/>
      </w:pPr>
    </w:lvl>
    <w:lvl w:ilvl="1" w:tplc="1BC83BFE" w:tentative="1">
      <w:start w:val="1"/>
      <w:numFmt w:val="lowerLetter"/>
      <w:lvlText w:val="%2."/>
      <w:lvlJc w:val="left"/>
      <w:pPr>
        <w:tabs>
          <w:tab w:val="num" w:pos="1440"/>
        </w:tabs>
        <w:ind w:left="1440" w:hanging="360"/>
      </w:pPr>
    </w:lvl>
    <w:lvl w:ilvl="2" w:tplc="D456A802" w:tentative="1">
      <w:start w:val="1"/>
      <w:numFmt w:val="lowerRoman"/>
      <w:lvlText w:val="%3."/>
      <w:lvlJc w:val="right"/>
      <w:pPr>
        <w:tabs>
          <w:tab w:val="num" w:pos="2160"/>
        </w:tabs>
        <w:ind w:left="2160" w:hanging="180"/>
      </w:pPr>
    </w:lvl>
    <w:lvl w:ilvl="3" w:tplc="D2ACA5F2" w:tentative="1">
      <w:start w:val="1"/>
      <w:numFmt w:val="decimal"/>
      <w:lvlText w:val="%4."/>
      <w:lvlJc w:val="left"/>
      <w:pPr>
        <w:tabs>
          <w:tab w:val="num" w:pos="2880"/>
        </w:tabs>
        <w:ind w:left="2880" w:hanging="360"/>
      </w:pPr>
    </w:lvl>
    <w:lvl w:ilvl="4" w:tplc="E4F676FA" w:tentative="1">
      <w:start w:val="1"/>
      <w:numFmt w:val="lowerLetter"/>
      <w:lvlText w:val="%5."/>
      <w:lvlJc w:val="left"/>
      <w:pPr>
        <w:tabs>
          <w:tab w:val="num" w:pos="3600"/>
        </w:tabs>
        <w:ind w:left="3600" w:hanging="360"/>
      </w:pPr>
    </w:lvl>
    <w:lvl w:ilvl="5" w:tplc="FA0C4BC6" w:tentative="1">
      <w:start w:val="1"/>
      <w:numFmt w:val="lowerRoman"/>
      <w:lvlText w:val="%6."/>
      <w:lvlJc w:val="right"/>
      <w:pPr>
        <w:tabs>
          <w:tab w:val="num" w:pos="4320"/>
        </w:tabs>
        <w:ind w:left="4320" w:hanging="180"/>
      </w:pPr>
    </w:lvl>
    <w:lvl w:ilvl="6" w:tplc="771008F0" w:tentative="1">
      <w:start w:val="1"/>
      <w:numFmt w:val="decimal"/>
      <w:lvlText w:val="%7."/>
      <w:lvlJc w:val="left"/>
      <w:pPr>
        <w:tabs>
          <w:tab w:val="num" w:pos="5040"/>
        </w:tabs>
        <w:ind w:left="5040" w:hanging="360"/>
      </w:pPr>
    </w:lvl>
    <w:lvl w:ilvl="7" w:tplc="2E62CBAC" w:tentative="1">
      <w:start w:val="1"/>
      <w:numFmt w:val="lowerLetter"/>
      <w:lvlText w:val="%8."/>
      <w:lvlJc w:val="left"/>
      <w:pPr>
        <w:tabs>
          <w:tab w:val="num" w:pos="5760"/>
        </w:tabs>
        <w:ind w:left="5760" w:hanging="360"/>
      </w:pPr>
    </w:lvl>
    <w:lvl w:ilvl="8" w:tplc="FF9CA10E" w:tentative="1">
      <w:start w:val="1"/>
      <w:numFmt w:val="lowerRoman"/>
      <w:lvlText w:val="%9."/>
      <w:lvlJc w:val="right"/>
      <w:pPr>
        <w:tabs>
          <w:tab w:val="num" w:pos="6480"/>
        </w:tabs>
        <w:ind w:left="6480" w:hanging="180"/>
      </w:pPr>
    </w:lvl>
  </w:abstractNum>
  <w:abstractNum w:abstractNumId="9" w15:restartNumberingAfterBreak="0">
    <w:nsid w:val="6EC003F8"/>
    <w:multiLevelType w:val="hybridMultilevel"/>
    <w:tmpl w:val="4D563EAC"/>
    <w:lvl w:ilvl="0" w:tplc="408493D0">
      <w:start w:val="1"/>
      <w:numFmt w:val="lowerLetter"/>
      <w:lvlText w:val="%1)"/>
      <w:lvlJc w:val="left"/>
      <w:pPr>
        <w:ind w:left="720" w:hanging="360"/>
      </w:pPr>
      <w:rPr>
        <w:rFonts w:hint="default"/>
      </w:rPr>
    </w:lvl>
    <w:lvl w:ilvl="1" w:tplc="178A92B0" w:tentative="1">
      <w:start w:val="1"/>
      <w:numFmt w:val="lowerLetter"/>
      <w:lvlText w:val="%2."/>
      <w:lvlJc w:val="left"/>
      <w:pPr>
        <w:ind w:left="1440" w:hanging="360"/>
      </w:pPr>
    </w:lvl>
    <w:lvl w:ilvl="2" w:tplc="FCFE5402" w:tentative="1">
      <w:start w:val="1"/>
      <w:numFmt w:val="lowerRoman"/>
      <w:lvlText w:val="%3."/>
      <w:lvlJc w:val="right"/>
      <w:pPr>
        <w:ind w:left="2160" w:hanging="180"/>
      </w:pPr>
    </w:lvl>
    <w:lvl w:ilvl="3" w:tplc="3AF2D8C2" w:tentative="1">
      <w:start w:val="1"/>
      <w:numFmt w:val="decimal"/>
      <w:lvlText w:val="%4."/>
      <w:lvlJc w:val="left"/>
      <w:pPr>
        <w:ind w:left="2880" w:hanging="360"/>
      </w:pPr>
    </w:lvl>
    <w:lvl w:ilvl="4" w:tplc="2222FC2A" w:tentative="1">
      <w:start w:val="1"/>
      <w:numFmt w:val="lowerLetter"/>
      <w:lvlText w:val="%5."/>
      <w:lvlJc w:val="left"/>
      <w:pPr>
        <w:ind w:left="3600" w:hanging="360"/>
      </w:pPr>
    </w:lvl>
    <w:lvl w:ilvl="5" w:tplc="7EA031AE" w:tentative="1">
      <w:start w:val="1"/>
      <w:numFmt w:val="lowerRoman"/>
      <w:lvlText w:val="%6."/>
      <w:lvlJc w:val="right"/>
      <w:pPr>
        <w:ind w:left="4320" w:hanging="180"/>
      </w:pPr>
    </w:lvl>
    <w:lvl w:ilvl="6" w:tplc="70169370" w:tentative="1">
      <w:start w:val="1"/>
      <w:numFmt w:val="decimal"/>
      <w:lvlText w:val="%7."/>
      <w:lvlJc w:val="left"/>
      <w:pPr>
        <w:ind w:left="5040" w:hanging="360"/>
      </w:pPr>
    </w:lvl>
    <w:lvl w:ilvl="7" w:tplc="BCEC2CA2" w:tentative="1">
      <w:start w:val="1"/>
      <w:numFmt w:val="lowerLetter"/>
      <w:lvlText w:val="%8."/>
      <w:lvlJc w:val="left"/>
      <w:pPr>
        <w:ind w:left="5760" w:hanging="360"/>
      </w:pPr>
    </w:lvl>
    <w:lvl w:ilvl="8" w:tplc="B14C24F4" w:tentative="1">
      <w:start w:val="1"/>
      <w:numFmt w:val="lowerRoman"/>
      <w:lvlText w:val="%9."/>
      <w:lvlJc w:val="right"/>
      <w:pPr>
        <w:ind w:left="6480" w:hanging="180"/>
      </w:pPr>
    </w:lvl>
  </w:abstractNum>
  <w:abstractNum w:abstractNumId="10" w15:restartNumberingAfterBreak="0">
    <w:nsid w:val="7A5A2CBD"/>
    <w:multiLevelType w:val="hybridMultilevel"/>
    <w:tmpl w:val="DEE22BC8"/>
    <w:lvl w:ilvl="0" w:tplc="3CBED1D8">
      <w:numFmt w:val="bullet"/>
      <w:lvlText w:val="-"/>
      <w:lvlJc w:val="left"/>
      <w:pPr>
        <w:ind w:left="720" w:hanging="360"/>
      </w:pPr>
      <w:rPr>
        <w:rFonts w:ascii="Arial" w:eastAsia="Times New Roman" w:hAnsi="Arial" w:cs="Arial" w:hint="default"/>
      </w:rPr>
    </w:lvl>
    <w:lvl w:ilvl="1" w:tplc="F444731C" w:tentative="1">
      <w:start w:val="1"/>
      <w:numFmt w:val="bullet"/>
      <w:lvlText w:val="o"/>
      <w:lvlJc w:val="left"/>
      <w:pPr>
        <w:ind w:left="1440" w:hanging="360"/>
      </w:pPr>
      <w:rPr>
        <w:rFonts w:ascii="Courier New" w:hAnsi="Courier New" w:cs="Courier New" w:hint="default"/>
      </w:rPr>
    </w:lvl>
    <w:lvl w:ilvl="2" w:tplc="768E9E8A" w:tentative="1">
      <w:start w:val="1"/>
      <w:numFmt w:val="bullet"/>
      <w:lvlText w:val=""/>
      <w:lvlJc w:val="left"/>
      <w:pPr>
        <w:ind w:left="2160" w:hanging="360"/>
      </w:pPr>
      <w:rPr>
        <w:rFonts w:ascii="Wingdings" w:hAnsi="Wingdings" w:hint="default"/>
      </w:rPr>
    </w:lvl>
    <w:lvl w:ilvl="3" w:tplc="7A629C68" w:tentative="1">
      <w:start w:val="1"/>
      <w:numFmt w:val="bullet"/>
      <w:lvlText w:val=""/>
      <w:lvlJc w:val="left"/>
      <w:pPr>
        <w:ind w:left="2880" w:hanging="360"/>
      </w:pPr>
      <w:rPr>
        <w:rFonts w:ascii="Symbol" w:hAnsi="Symbol" w:hint="default"/>
      </w:rPr>
    </w:lvl>
    <w:lvl w:ilvl="4" w:tplc="DAB60920" w:tentative="1">
      <w:start w:val="1"/>
      <w:numFmt w:val="bullet"/>
      <w:lvlText w:val="o"/>
      <w:lvlJc w:val="left"/>
      <w:pPr>
        <w:ind w:left="3600" w:hanging="360"/>
      </w:pPr>
      <w:rPr>
        <w:rFonts w:ascii="Courier New" w:hAnsi="Courier New" w:cs="Courier New" w:hint="default"/>
      </w:rPr>
    </w:lvl>
    <w:lvl w:ilvl="5" w:tplc="7E808E80" w:tentative="1">
      <w:start w:val="1"/>
      <w:numFmt w:val="bullet"/>
      <w:lvlText w:val=""/>
      <w:lvlJc w:val="left"/>
      <w:pPr>
        <w:ind w:left="4320" w:hanging="360"/>
      </w:pPr>
      <w:rPr>
        <w:rFonts w:ascii="Wingdings" w:hAnsi="Wingdings" w:hint="default"/>
      </w:rPr>
    </w:lvl>
    <w:lvl w:ilvl="6" w:tplc="462A27D0" w:tentative="1">
      <w:start w:val="1"/>
      <w:numFmt w:val="bullet"/>
      <w:lvlText w:val=""/>
      <w:lvlJc w:val="left"/>
      <w:pPr>
        <w:ind w:left="5040" w:hanging="360"/>
      </w:pPr>
      <w:rPr>
        <w:rFonts w:ascii="Symbol" w:hAnsi="Symbol" w:hint="default"/>
      </w:rPr>
    </w:lvl>
    <w:lvl w:ilvl="7" w:tplc="C7709FFA" w:tentative="1">
      <w:start w:val="1"/>
      <w:numFmt w:val="bullet"/>
      <w:lvlText w:val="o"/>
      <w:lvlJc w:val="left"/>
      <w:pPr>
        <w:ind w:left="5760" w:hanging="360"/>
      </w:pPr>
      <w:rPr>
        <w:rFonts w:ascii="Courier New" w:hAnsi="Courier New" w:cs="Courier New" w:hint="default"/>
      </w:rPr>
    </w:lvl>
    <w:lvl w:ilvl="8" w:tplc="BD7E2590"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3"/>
  </w:num>
  <w:num w:numId="6">
    <w:abstractNumId w:val="10"/>
  </w:num>
  <w:num w:numId="7">
    <w:abstractNumId w:val="2"/>
  </w:num>
  <w:num w:numId="8">
    <w:abstractNumId w:val="1"/>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1539B"/>
    <w:rsid w:val="0001639A"/>
    <w:rsid w:val="000206AE"/>
    <w:rsid w:val="00023A88"/>
    <w:rsid w:val="000636E1"/>
    <w:rsid w:val="0007347A"/>
    <w:rsid w:val="000736D6"/>
    <w:rsid w:val="0008352D"/>
    <w:rsid w:val="000A07CE"/>
    <w:rsid w:val="000A2C92"/>
    <w:rsid w:val="000A7238"/>
    <w:rsid w:val="000B0B21"/>
    <w:rsid w:val="000D08A9"/>
    <w:rsid w:val="000E2F2B"/>
    <w:rsid w:val="000E7875"/>
    <w:rsid w:val="000F3D38"/>
    <w:rsid w:val="00110CBD"/>
    <w:rsid w:val="00123D7D"/>
    <w:rsid w:val="001357B2"/>
    <w:rsid w:val="00151388"/>
    <w:rsid w:val="00151872"/>
    <w:rsid w:val="00160E5F"/>
    <w:rsid w:val="001A3BA5"/>
    <w:rsid w:val="001E1635"/>
    <w:rsid w:val="001F3B21"/>
    <w:rsid w:val="001F7BC0"/>
    <w:rsid w:val="00202A77"/>
    <w:rsid w:val="00207DC8"/>
    <w:rsid w:val="00232E47"/>
    <w:rsid w:val="0024583F"/>
    <w:rsid w:val="00261D80"/>
    <w:rsid w:val="00261D99"/>
    <w:rsid w:val="00262960"/>
    <w:rsid w:val="00271CE5"/>
    <w:rsid w:val="00282020"/>
    <w:rsid w:val="00282A2F"/>
    <w:rsid w:val="00285890"/>
    <w:rsid w:val="002934F1"/>
    <w:rsid w:val="00296D93"/>
    <w:rsid w:val="00297F27"/>
    <w:rsid w:val="002A4B44"/>
    <w:rsid w:val="002C7EEB"/>
    <w:rsid w:val="002F1662"/>
    <w:rsid w:val="00304726"/>
    <w:rsid w:val="00315D82"/>
    <w:rsid w:val="00352109"/>
    <w:rsid w:val="003636BF"/>
    <w:rsid w:val="00370AA7"/>
    <w:rsid w:val="00371034"/>
    <w:rsid w:val="0037479F"/>
    <w:rsid w:val="00377950"/>
    <w:rsid w:val="003828AD"/>
    <w:rsid w:val="003845B4"/>
    <w:rsid w:val="00387B1A"/>
    <w:rsid w:val="0039148F"/>
    <w:rsid w:val="003B5CF4"/>
    <w:rsid w:val="003C28AA"/>
    <w:rsid w:val="003C3B1D"/>
    <w:rsid w:val="003D0306"/>
    <w:rsid w:val="003E1C74"/>
    <w:rsid w:val="003E7E9E"/>
    <w:rsid w:val="003F4966"/>
    <w:rsid w:val="00464335"/>
    <w:rsid w:val="00484A06"/>
    <w:rsid w:val="00493064"/>
    <w:rsid w:val="004A2490"/>
    <w:rsid w:val="004A4233"/>
    <w:rsid w:val="004A6A59"/>
    <w:rsid w:val="004B0360"/>
    <w:rsid w:val="004B160E"/>
    <w:rsid w:val="004E3584"/>
    <w:rsid w:val="004F561D"/>
    <w:rsid w:val="0050296F"/>
    <w:rsid w:val="005149DF"/>
    <w:rsid w:val="005177DF"/>
    <w:rsid w:val="005254D1"/>
    <w:rsid w:val="00525C18"/>
    <w:rsid w:val="00526246"/>
    <w:rsid w:val="00532C59"/>
    <w:rsid w:val="0055206D"/>
    <w:rsid w:val="00567106"/>
    <w:rsid w:val="005709F2"/>
    <w:rsid w:val="005916E5"/>
    <w:rsid w:val="005B0438"/>
    <w:rsid w:val="005C0F28"/>
    <w:rsid w:val="005E1D3C"/>
    <w:rsid w:val="006268BE"/>
    <w:rsid w:val="00632253"/>
    <w:rsid w:val="00642714"/>
    <w:rsid w:val="00643C4E"/>
    <w:rsid w:val="006455CE"/>
    <w:rsid w:val="00694B33"/>
    <w:rsid w:val="006C4AE3"/>
    <w:rsid w:val="006D42D9"/>
    <w:rsid w:val="006F142E"/>
    <w:rsid w:val="007113D1"/>
    <w:rsid w:val="00726463"/>
    <w:rsid w:val="00733017"/>
    <w:rsid w:val="00751D38"/>
    <w:rsid w:val="00775FED"/>
    <w:rsid w:val="00780335"/>
    <w:rsid w:val="00783310"/>
    <w:rsid w:val="00791205"/>
    <w:rsid w:val="00793A81"/>
    <w:rsid w:val="00794B95"/>
    <w:rsid w:val="00794E63"/>
    <w:rsid w:val="007A3E37"/>
    <w:rsid w:val="007A4A6D"/>
    <w:rsid w:val="007D05C8"/>
    <w:rsid w:val="007D1BCF"/>
    <w:rsid w:val="007D75CF"/>
    <w:rsid w:val="007E6DC5"/>
    <w:rsid w:val="008078F7"/>
    <w:rsid w:val="0088043C"/>
    <w:rsid w:val="008906C9"/>
    <w:rsid w:val="008A5918"/>
    <w:rsid w:val="008B2E72"/>
    <w:rsid w:val="008C00F2"/>
    <w:rsid w:val="008C5738"/>
    <w:rsid w:val="008D04F0"/>
    <w:rsid w:val="008E1660"/>
    <w:rsid w:val="008E2D84"/>
    <w:rsid w:val="008F3500"/>
    <w:rsid w:val="009022B3"/>
    <w:rsid w:val="0091178D"/>
    <w:rsid w:val="00924E3C"/>
    <w:rsid w:val="00925A8B"/>
    <w:rsid w:val="009612BB"/>
    <w:rsid w:val="00970B45"/>
    <w:rsid w:val="009B0295"/>
    <w:rsid w:val="009C5340"/>
    <w:rsid w:val="009E42F2"/>
    <w:rsid w:val="00A05DC7"/>
    <w:rsid w:val="00A125C5"/>
    <w:rsid w:val="00A12D5C"/>
    <w:rsid w:val="00A216AF"/>
    <w:rsid w:val="00A3267F"/>
    <w:rsid w:val="00A36906"/>
    <w:rsid w:val="00A40419"/>
    <w:rsid w:val="00A45EAF"/>
    <w:rsid w:val="00A5039D"/>
    <w:rsid w:val="00A65EE7"/>
    <w:rsid w:val="00A70133"/>
    <w:rsid w:val="00A72510"/>
    <w:rsid w:val="00AA47FE"/>
    <w:rsid w:val="00AC05DE"/>
    <w:rsid w:val="00AC56FF"/>
    <w:rsid w:val="00AC5C16"/>
    <w:rsid w:val="00AD5A5B"/>
    <w:rsid w:val="00AE1792"/>
    <w:rsid w:val="00AE2D7F"/>
    <w:rsid w:val="00B011EA"/>
    <w:rsid w:val="00B038B1"/>
    <w:rsid w:val="00B17141"/>
    <w:rsid w:val="00B31575"/>
    <w:rsid w:val="00B62CE5"/>
    <w:rsid w:val="00B63BD4"/>
    <w:rsid w:val="00B653A6"/>
    <w:rsid w:val="00B677B6"/>
    <w:rsid w:val="00B814D8"/>
    <w:rsid w:val="00B8547D"/>
    <w:rsid w:val="00BC2517"/>
    <w:rsid w:val="00BC61EF"/>
    <w:rsid w:val="00BE423F"/>
    <w:rsid w:val="00BF75C5"/>
    <w:rsid w:val="00C1397D"/>
    <w:rsid w:val="00C250D5"/>
    <w:rsid w:val="00C47F8D"/>
    <w:rsid w:val="00C5171C"/>
    <w:rsid w:val="00C52DAE"/>
    <w:rsid w:val="00C57EED"/>
    <w:rsid w:val="00C81391"/>
    <w:rsid w:val="00C92898"/>
    <w:rsid w:val="00C97222"/>
    <w:rsid w:val="00CA28CB"/>
    <w:rsid w:val="00CE7514"/>
    <w:rsid w:val="00D248DE"/>
    <w:rsid w:val="00D25427"/>
    <w:rsid w:val="00D31B74"/>
    <w:rsid w:val="00D3564D"/>
    <w:rsid w:val="00D8542D"/>
    <w:rsid w:val="00DB11E1"/>
    <w:rsid w:val="00DB436F"/>
    <w:rsid w:val="00DB4E6F"/>
    <w:rsid w:val="00DC62F6"/>
    <w:rsid w:val="00DC6A71"/>
    <w:rsid w:val="00DD6CC3"/>
    <w:rsid w:val="00DE25A4"/>
    <w:rsid w:val="00DE5B46"/>
    <w:rsid w:val="00E0357D"/>
    <w:rsid w:val="00E20A8F"/>
    <w:rsid w:val="00E24EC2"/>
    <w:rsid w:val="00E447E8"/>
    <w:rsid w:val="00E51C0F"/>
    <w:rsid w:val="00E8201C"/>
    <w:rsid w:val="00E94ECF"/>
    <w:rsid w:val="00EA0E3C"/>
    <w:rsid w:val="00EB62B8"/>
    <w:rsid w:val="00ED00D1"/>
    <w:rsid w:val="00ED27F8"/>
    <w:rsid w:val="00ED7E82"/>
    <w:rsid w:val="00EF3280"/>
    <w:rsid w:val="00EF63CC"/>
    <w:rsid w:val="00F0025B"/>
    <w:rsid w:val="00F02E53"/>
    <w:rsid w:val="00F1126C"/>
    <w:rsid w:val="00F240BB"/>
    <w:rsid w:val="00F42CE8"/>
    <w:rsid w:val="00F46724"/>
    <w:rsid w:val="00F47F58"/>
    <w:rsid w:val="00F57FED"/>
    <w:rsid w:val="00F9110D"/>
    <w:rsid w:val="00F94746"/>
    <w:rsid w:val="00FD2436"/>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970B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970B45"/>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9"/>
    <w:unhideWhenUsed/>
    <w:qFormat/>
    <w:rsid w:val="00970B45"/>
    <w:pPr>
      <w:keepNext/>
      <w:keepLines/>
      <w:spacing w:before="200" w:line="259" w:lineRule="auto"/>
      <w:ind w:left="864" w:hanging="864"/>
      <w:outlineLvl w:val="3"/>
    </w:pPr>
    <w:rPr>
      <w:rFonts w:asciiTheme="majorHAnsi" w:eastAsiaTheme="majorEastAsia" w:hAnsiTheme="majorHAnsi" w:cstheme="majorBidi"/>
      <w:b/>
      <w:bCs/>
      <w:i/>
      <w:iCs/>
      <w:color w:val="000000" w:themeColor="text1"/>
      <w:sz w:val="22"/>
      <w:szCs w:val="22"/>
      <w:lang w:val="sl-SI"/>
    </w:rPr>
  </w:style>
  <w:style w:type="paragraph" w:styleId="Naslov5">
    <w:name w:val="heading 5"/>
    <w:basedOn w:val="Navaden"/>
    <w:next w:val="Navaden"/>
    <w:link w:val="Naslov5Znak"/>
    <w:uiPriority w:val="9"/>
    <w:unhideWhenUsed/>
    <w:qFormat/>
    <w:rsid w:val="00970B45"/>
    <w:pPr>
      <w:keepNext/>
      <w:keepLines/>
      <w:spacing w:before="200" w:line="259" w:lineRule="auto"/>
      <w:ind w:left="1008" w:hanging="1008"/>
      <w:outlineLvl w:val="4"/>
    </w:pPr>
    <w:rPr>
      <w:rFonts w:asciiTheme="majorHAnsi" w:eastAsiaTheme="majorEastAsia" w:hAnsiTheme="majorHAnsi" w:cstheme="majorBidi"/>
      <w:color w:val="17365D" w:themeColor="text2" w:themeShade="BF"/>
      <w:sz w:val="22"/>
      <w:szCs w:val="22"/>
      <w:lang w:val="sl-SI"/>
    </w:rPr>
  </w:style>
  <w:style w:type="paragraph" w:styleId="Naslov6">
    <w:name w:val="heading 6"/>
    <w:basedOn w:val="Navaden"/>
    <w:next w:val="Navaden"/>
    <w:link w:val="Naslov6Znak"/>
    <w:uiPriority w:val="9"/>
    <w:unhideWhenUsed/>
    <w:qFormat/>
    <w:rsid w:val="00970B45"/>
    <w:pPr>
      <w:keepNext/>
      <w:keepLines/>
      <w:spacing w:before="200" w:line="259" w:lineRule="auto"/>
      <w:ind w:left="1152" w:hanging="1152"/>
      <w:outlineLvl w:val="5"/>
    </w:pPr>
    <w:rPr>
      <w:rFonts w:asciiTheme="majorHAnsi" w:eastAsiaTheme="majorEastAsia" w:hAnsiTheme="majorHAnsi" w:cstheme="majorBidi"/>
      <w:i/>
      <w:iCs/>
      <w:color w:val="17365D" w:themeColor="text2" w:themeShade="BF"/>
      <w:sz w:val="22"/>
      <w:szCs w:val="22"/>
      <w:lang w:val="sl-SI"/>
    </w:rPr>
  </w:style>
  <w:style w:type="paragraph" w:styleId="Naslov7">
    <w:name w:val="heading 7"/>
    <w:basedOn w:val="Navaden"/>
    <w:next w:val="Navaden"/>
    <w:link w:val="Naslov7Znak"/>
    <w:uiPriority w:val="9"/>
    <w:semiHidden/>
    <w:unhideWhenUsed/>
    <w:qFormat/>
    <w:rsid w:val="00970B45"/>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val="sl-SI"/>
    </w:rPr>
  </w:style>
  <w:style w:type="paragraph" w:styleId="Naslov8">
    <w:name w:val="heading 8"/>
    <w:basedOn w:val="Navaden"/>
    <w:next w:val="Navaden"/>
    <w:link w:val="Naslov8Znak"/>
    <w:uiPriority w:val="9"/>
    <w:semiHidden/>
    <w:unhideWhenUsed/>
    <w:qFormat/>
    <w:rsid w:val="00970B45"/>
    <w:pPr>
      <w:keepNext/>
      <w:keepLines/>
      <w:spacing w:before="200" w:line="259" w:lineRule="auto"/>
      <w:ind w:left="1440" w:hanging="1440"/>
      <w:outlineLvl w:val="7"/>
    </w:pPr>
    <w:rPr>
      <w:rFonts w:asciiTheme="majorHAnsi" w:eastAsiaTheme="majorEastAsia" w:hAnsiTheme="majorHAnsi" w:cstheme="majorBidi"/>
      <w:color w:val="404040" w:themeColor="text1" w:themeTint="BF"/>
      <w:szCs w:val="20"/>
      <w:lang w:val="sl-SI"/>
    </w:rPr>
  </w:style>
  <w:style w:type="paragraph" w:styleId="Naslov9">
    <w:name w:val="heading 9"/>
    <w:basedOn w:val="Navaden"/>
    <w:next w:val="Navaden"/>
    <w:link w:val="Naslov9Znak"/>
    <w:uiPriority w:val="9"/>
    <w:semiHidden/>
    <w:unhideWhenUsed/>
    <w:qFormat/>
    <w:rsid w:val="00970B45"/>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55206D"/>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55206D"/>
    <w:rPr>
      <w:rFonts w:ascii="Courier New" w:hAnsi="Courier New" w:cs="Arial"/>
      <w:szCs w:val="22"/>
    </w:rPr>
  </w:style>
  <w:style w:type="character" w:styleId="Krepko">
    <w:name w:val="Strong"/>
    <w:basedOn w:val="Privzetapisavaodstavka"/>
    <w:uiPriority w:val="22"/>
    <w:qFormat/>
    <w:rsid w:val="0055206D"/>
    <w:rPr>
      <w:b/>
      <w:bCs/>
    </w:rPr>
  </w:style>
  <w:style w:type="character" w:customStyle="1" w:styleId="Naslov2Znak">
    <w:name w:val="Naslov 2 Znak"/>
    <w:basedOn w:val="Privzetapisavaodstavka"/>
    <w:link w:val="Naslov2"/>
    <w:semiHidden/>
    <w:rsid w:val="00970B45"/>
    <w:rPr>
      <w:rFonts w:asciiTheme="majorHAnsi" w:eastAsiaTheme="majorEastAsia" w:hAnsiTheme="majorHAnsi" w:cstheme="majorBidi"/>
      <w:color w:val="365F91" w:themeColor="accent1" w:themeShade="BF"/>
      <w:sz w:val="26"/>
      <w:szCs w:val="26"/>
      <w:lang w:val="en-US" w:eastAsia="en-US"/>
    </w:rPr>
  </w:style>
  <w:style w:type="character" w:customStyle="1" w:styleId="Naslov3Znak">
    <w:name w:val="Naslov 3 Znak"/>
    <w:basedOn w:val="Privzetapisavaodstavka"/>
    <w:link w:val="Naslov3"/>
    <w:semiHidden/>
    <w:rsid w:val="00970B45"/>
    <w:rPr>
      <w:rFonts w:asciiTheme="majorHAnsi" w:eastAsiaTheme="majorEastAsia" w:hAnsiTheme="majorHAnsi" w:cstheme="majorBidi"/>
      <w:color w:val="243F60" w:themeColor="accent1" w:themeShade="7F"/>
      <w:sz w:val="24"/>
      <w:szCs w:val="24"/>
      <w:lang w:val="en-US" w:eastAsia="en-US"/>
    </w:rPr>
  </w:style>
  <w:style w:type="character" w:customStyle="1" w:styleId="Naslov4Znak">
    <w:name w:val="Naslov 4 Znak"/>
    <w:basedOn w:val="Privzetapisavaodstavka"/>
    <w:link w:val="Naslov4"/>
    <w:uiPriority w:val="9"/>
    <w:rsid w:val="00970B45"/>
    <w:rPr>
      <w:rFonts w:asciiTheme="majorHAnsi" w:eastAsiaTheme="majorEastAsia" w:hAnsiTheme="majorHAnsi" w:cstheme="majorBidi"/>
      <w:b/>
      <w:bCs/>
      <w:i/>
      <w:iCs/>
      <w:color w:val="000000" w:themeColor="text1"/>
      <w:sz w:val="22"/>
      <w:szCs w:val="22"/>
      <w:lang w:eastAsia="en-US"/>
    </w:rPr>
  </w:style>
  <w:style w:type="character" w:customStyle="1" w:styleId="Naslov5Znak">
    <w:name w:val="Naslov 5 Znak"/>
    <w:basedOn w:val="Privzetapisavaodstavka"/>
    <w:link w:val="Naslov5"/>
    <w:uiPriority w:val="9"/>
    <w:rsid w:val="00970B45"/>
    <w:rPr>
      <w:rFonts w:asciiTheme="majorHAnsi" w:eastAsiaTheme="majorEastAsia" w:hAnsiTheme="majorHAnsi" w:cstheme="majorBidi"/>
      <w:color w:val="17365D" w:themeColor="text2" w:themeShade="BF"/>
      <w:sz w:val="22"/>
      <w:szCs w:val="22"/>
      <w:lang w:eastAsia="en-US"/>
    </w:rPr>
  </w:style>
  <w:style w:type="character" w:customStyle="1" w:styleId="Naslov6Znak">
    <w:name w:val="Naslov 6 Znak"/>
    <w:basedOn w:val="Privzetapisavaodstavka"/>
    <w:link w:val="Naslov6"/>
    <w:uiPriority w:val="9"/>
    <w:rsid w:val="00970B45"/>
    <w:rPr>
      <w:rFonts w:asciiTheme="majorHAnsi" w:eastAsiaTheme="majorEastAsia" w:hAnsiTheme="majorHAnsi" w:cstheme="majorBidi"/>
      <w:i/>
      <w:iCs/>
      <w:color w:val="17365D" w:themeColor="text2" w:themeShade="BF"/>
      <w:sz w:val="22"/>
      <w:szCs w:val="22"/>
      <w:lang w:eastAsia="en-US"/>
    </w:rPr>
  </w:style>
  <w:style w:type="character" w:customStyle="1" w:styleId="Naslov7Znak">
    <w:name w:val="Naslov 7 Znak"/>
    <w:basedOn w:val="Privzetapisavaodstavka"/>
    <w:link w:val="Naslov7"/>
    <w:uiPriority w:val="9"/>
    <w:semiHidden/>
    <w:rsid w:val="00970B45"/>
    <w:rPr>
      <w:rFonts w:asciiTheme="majorHAnsi" w:eastAsiaTheme="majorEastAsia" w:hAnsiTheme="majorHAnsi" w:cstheme="majorBidi"/>
      <w:i/>
      <w:iCs/>
      <w:color w:val="404040" w:themeColor="text1" w:themeTint="BF"/>
      <w:sz w:val="22"/>
      <w:szCs w:val="22"/>
      <w:lang w:eastAsia="en-US"/>
    </w:rPr>
  </w:style>
  <w:style w:type="character" w:customStyle="1" w:styleId="Naslov8Znak">
    <w:name w:val="Naslov 8 Znak"/>
    <w:basedOn w:val="Privzetapisavaodstavka"/>
    <w:link w:val="Naslov8"/>
    <w:uiPriority w:val="9"/>
    <w:semiHidden/>
    <w:rsid w:val="00970B45"/>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uiPriority w:val="9"/>
    <w:semiHidden/>
    <w:rsid w:val="00970B45"/>
    <w:rPr>
      <w:rFonts w:asciiTheme="majorHAnsi" w:eastAsiaTheme="majorEastAsia" w:hAnsiTheme="majorHAnsi" w:cstheme="majorBidi"/>
      <w:i/>
      <w:iCs/>
      <w:color w:val="404040" w:themeColor="text1" w:themeTint="BF"/>
      <w:lang w:eastAsia="en-US"/>
    </w:rPr>
  </w:style>
  <w:style w:type="paragraph" w:styleId="NaslovTOC">
    <w:name w:val="TOC Heading"/>
    <w:basedOn w:val="Naslov1"/>
    <w:next w:val="Navaden"/>
    <w:uiPriority w:val="39"/>
    <w:unhideWhenUsed/>
    <w:qFormat/>
    <w:rsid w:val="00970B45"/>
    <w:pPr>
      <w:keepLines/>
      <w:pBdr>
        <w:bottom w:val="single" w:sz="4" w:space="1" w:color="595959" w:themeColor="text1" w:themeTint="A6"/>
      </w:pBdr>
      <w:spacing w:before="360" w:after="160" w:line="259" w:lineRule="auto"/>
      <w:ind w:left="432" w:hanging="432"/>
      <w:outlineLvl w:val="9"/>
    </w:pPr>
    <w:rPr>
      <w:rFonts w:asciiTheme="majorHAnsi" w:eastAsiaTheme="majorEastAsia" w:hAnsiTheme="majorHAnsi" w:cstheme="majorBidi"/>
      <w:bCs/>
      <w:smallCaps/>
      <w:color w:val="000000" w:themeColor="text1"/>
      <w:kern w:val="0"/>
      <w:sz w:val="36"/>
      <w:szCs w:val="36"/>
      <w:lang w:eastAsia="en-US"/>
    </w:rPr>
  </w:style>
  <w:style w:type="paragraph" w:styleId="Odstavekseznama">
    <w:name w:val="List Paragraph"/>
    <w:basedOn w:val="Navaden"/>
    <w:uiPriority w:val="34"/>
    <w:qFormat/>
    <w:rsid w:val="00970B45"/>
    <w:pPr>
      <w:spacing w:after="160" w:line="259" w:lineRule="auto"/>
      <w:ind w:left="720"/>
      <w:contextualSpacing/>
    </w:pPr>
    <w:rPr>
      <w:rFonts w:asciiTheme="minorHAnsi" w:eastAsiaTheme="minorEastAsia" w:hAnsiTheme="minorHAnsi" w:cstheme="minorBidi"/>
      <w:sz w:val="22"/>
      <w:szCs w:val="22"/>
      <w:lang w:val="sl-SI"/>
    </w:rPr>
  </w:style>
  <w:style w:type="character" w:styleId="Poudarek">
    <w:name w:val="Emphasis"/>
    <w:basedOn w:val="Privzetapisavaodstavka"/>
    <w:uiPriority w:val="20"/>
    <w:qFormat/>
    <w:rsid w:val="00970B45"/>
    <w:rPr>
      <w:i/>
      <w:iCs/>
      <w:color w:val="auto"/>
    </w:rPr>
  </w:style>
  <w:style w:type="paragraph" w:styleId="Kazalovsebine1">
    <w:name w:val="toc 1"/>
    <w:basedOn w:val="Navaden"/>
    <w:next w:val="Navaden"/>
    <w:autoRedefine/>
    <w:uiPriority w:val="39"/>
    <w:unhideWhenUsed/>
    <w:rsid w:val="00970B45"/>
    <w:pPr>
      <w:spacing w:after="100" w:line="259" w:lineRule="auto"/>
    </w:pPr>
    <w:rPr>
      <w:rFonts w:asciiTheme="minorHAnsi" w:eastAsiaTheme="minorEastAsia" w:hAnsiTheme="minorHAnsi" w:cstheme="minorBidi"/>
      <w:sz w:val="22"/>
      <w:szCs w:val="22"/>
      <w:lang w:val="sl-SI"/>
    </w:rPr>
  </w:style>
  <w:style w:type="paragraph" w:styleId="Kazalovsebine2">
    <w:name w:val="toc 2"/>
    <w:basedOn w:val="Navaden"/>
    <w:next w:val="Navaden"/>
    <w:autoRedefine/>
    <w:uiPriority w:val="39"/>
    <w:unhideWhenUsed/>
    <w:rsid w:val="00970B45"/>
    <w:pPr>
      <w:spacing w:after="100" w:line="259" w:lineRule="auto"/>
      <w:ind w:left="220"/>
    </w:pPr>
    <w:rPr>
      <w:rFonts w:asciiTheme="minorHAnsi" w:eastAsiaTheme="minorEastAsia" w:hAnsiTheme="minorHAnsi" w:cstheme="minorBidi"/>
      <w:sz w:val="22"/>
      <w:szCs w:val="22"/>
      <w:lang w:val="sl-SI"/>
    </w:rPr>
  </w:style>
  <w:style w:type="paragraph" w:styleId="Kazalovsebine3">
    <w:name w:val="toc 3"/>
    <w:basedOn w:val="Navaden"/>
    <w:next w:val="Navaden"/>
    <w:autoRedefine/>
    <w:uiPriority w:val="39"/>
    <w:unhideWhenUsed/>
    <w:rsid w:val="00970B45"/>
    <w:pPr>
      <w:spacing w:after="100" w:line="259" w:lineRule="auto"/>
      <w:ind w:left="440"/>
    </w:pPr>
    <w:rPr>
      <w:rFonts w:asciiTheme="minorHAnsi" w:eastAsiaTheme="minorEastAsia" w:hAnsiTheme="minorHAnsi" w:cstheme="minorBidi"/>
      <w:sz w:val="22"/>
      <w:szCs w:val="22"/>
      <w:lang w:val="sl-SI"/>
    </w:rPr>
  </w:style>
  <w:style w:type="paragraph" w:styleId="Navadensplet">
    <w:name w:val="Normal (Web)"/>
    <w:basedOn w:val="Navaden"/>
    <w:uiPriority w:val="99"/>
    <w:semiHidden/>
    <w:unhideWhenUsed/>
    <w:rsid w:val="00970B45"/>
    <w:pPr>
      <w:spacing w:after="160" w:line="259" w:lineRule="auto"/>
    </w:pPr>
    <w:rPr>
      <w:rFonts w:ascii="Times New Roman" w:eastAsiaTheme="minorEastAsia" w:hAnsi="Times New Roman"/>
      <w:sz w:val="24"/>
      <w:lang w:val="sl-SI"/>
    </w:rPr>
  </w:style>
  <w:style w:type="paragraph" w:styleId="Sprotnaopomba-besedilo">
    <w:name w:val="footnote text"/>
    <w:basedOn w:val="Navaden"/>
    <w:link w:val="Sprotnaopomba-besediloZnak"/>
    <w:unhideWhenUsed/>
    <w:rsid w:val="00970B45"/>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rsid w:val="00970B45"/>
    <w:rPr>
      <w:rFonts w:asciiTheme="minorHAnsi" w:eastAsiaTheme="minorHAnsi" w:hAnsiTheme="minorHAnsi" w:cstheme="minorBidi"/>
      <w:lang w:eastAsia="en-US"/>
    </w:rPr>
  </w:style>
  <w:style w:type="character" w:styleId="Sprotnaopomba-sklic">
    <w:name w:val="footnote reference"/>
    <w:basedOn w:val="Privzetapisavaodstavka"/>
    <w:unhideWhenUsed/>
    <w:rsid w:val="00970B45"/>
    <w:rPr>
      <w:vertAlign w:val="superscript"/>
    </w:rPr>
  </w:style>
  <w:style w:type="table" w:styleId="Tabelamrea">
    <w:name w:val="Table Grid"/>
    <w:basedOn w:val="Navadnatabela"/>
    <w:uiPriority w:val="39"/>
    <w:rsid w:val="00970B4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rs.si/pregledPredpisa?id=ZAKO47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32013R0952&amp;qid=17256141699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isrs.si/pregledPredpisa?id=ZAKO4705" TargetMode="External"/><Relationship Id="rId4" Type="http://schemas.openxmlformats.org/officeDocument/2006/relationships/settings" Target="settings.xml"/><Relationship Id="rId9" Type="http://schemas.openxmlformats.org/officeDocument/2006/relationships/hyperlink" Target="https://pisrs.si/pregledPredpisa?id=ZAKO470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odnapraksa.si/?q=X%20Ips%20799/2005%20&amp;database%5bSOVS%5d=SOVS&amp;_submit=i%C5%A1%C4%8Di&amp;rowsPerPage=20&amp;page=0&amp;id=64015" TargetMode="External"/><Relationship Id="rId13" Type="http://schemas.openxmlformats.org/officeDocument/2006/relationships/hyperlink" Target="https://sodnapraksa.si/?q=X%20Ips%201405/2006%20&amp;advanceSerch=1&amp;database%5bSOVS%5d=SOVS&amp;_submit=i%C5%A1%C4%8Di&amp;doc_code=&amp;task_code=&amp;source2=&amp;us_decision=&amp;ecli=&amp;trib_title%5bVrhovno%20sodi%C5%A1%C4%8De%5d=%22Vrhovno%20sodi%C5%A1%C4%8De%22&amp;dep_title%5bUpravni%20oddelek%5d=%22Upravni%20oddelek%22&amp;meet_dateFrom=&amp;meet_dateTo=&amp;senat_judge=&amp;areas=davki&amp;institutes=&amp;core_text=&amp;decision=&amp;description=&amp;connection2=&amp;publication=&amp;rowsPerPage=20&amp;page=0&amp;id=2010040815245714" TargetMode="External"/><Relationship Id="rId18" Type="http://schemas.openxmlformats.org/officeDocument/2006/relationships/hyperlink" Target="https://eur-lex.europa.eu/legal-content/SL/TXT/?qid=1570006203575&amp;uri=CELEX:62006CJ0062" TargetMode="External"/><Relationship Id="rId3" Type="http://schemas.openxmlformats.org/officeDocument/2006/relationships/hyperlink" Target="https://sodnapraksa.si/?q=I%20U%201136/2015&amp;database%5bUPRS%5d=UPRS&amp;_submit=i%C5%A1%C4%8Di&amp;rowsPerPage=20&amp;page=0&amp;id=2015081111396759" TargetMode="External"/><Relationship Id="rId7" Type="http://schemas.openxmlformats.org/officeDocument/2006/relationships/hyperlink" Target="https://sodnapraksa.si/?q=rok%20za%20izdajo%20odlo%C4%8Dbe%20zastaranje*%20&amp;database%5bSOVS%5d=SOVS&amp;_submit=i%C5%A1%C4%8Di&amp;rowsPerPage=20&amp;page=0&amp;id=2012032113044555" TargetMode="External"/><Relationship Id="rId12" Type="http://schemas.openxmlformats.org/officeDocument/2006/relationships/hyperlink" Target="https://sodnapraksa.si/?q=X%20Ips%20221/2017&amp;database%5bSOVS%5d=SOVS&amp;_submit=i%C5%A1%C4%8Di&amp;rowsPerPage=20&amp;page=0&amp;id=2015081111434071" TargetMode="External"/><Relationship Id="rId17" Type="http://schemas.openxmlformats.org/officeDocument/2006/relationships/hyperlink" Target="https://sodnapraksa.si/?q=X%20Ips%20221/2017%20&amp;advanceSerch=1&amp;database%5bSOVS%5d=SOVS&amp;_submit=i%C5%A1%C4%8Di&amp;doc_code=&amp;task_code=&amp;source2=&amp;us_decision=&amp;ecli=&amp;trib_title%5bVrhovno%20sodi%C5%A1%C4%8De%5d=%22Vrhovno%20sodi%C5%A1%C4%8De%22&amp;dep_title%5bUpravni%20oddelek%5d=%22Upravni%20oddelek%22&amp;meet_dateFrom=&amp;meet_dateTo=&amp;senat_judge=&amp;areas=davki&amp;institutes=&amp;core_text=&amp;decision=&amp;description=&amp;connection2=&amp;publication=&amp;rowsPerPage=20&amp;page=0&amp;id=2015081111434071" TargetMode="External"/><Relationship Id="rId2" Type="http://schemas.openxmlformats.org/officeDocument/2006/relationships/hyperlink" Target="https://sodnapraksa.si/?q=X%20Ips%201431/2006%20&amp;database%5bSOVS%5d=SOVS&amp;_submit=i%C5%A1%C4%8Di&amp;rowsPerPage=20&amp;page=0&amp;id=2010040815245737" TargetMode="External"/><Relationship Id="rId16" Type="http://schemas.openxmlformats.org/officeDocument/2006/relationships/hyperlink" Target="https://sodnapraksa.si/?q=X%20Ips%20235/2014%20&amp;advanceSerch=1&amp;database%5bSOVS%5d=SOVS&amp;_submit=i%C5%A1%C4%8Di&amp;doc_code=&amp;task_code=&amp;source2=&amp;us_decision=&amp;ecli=&amp;trib_title%5bVrhovno%20sodi%C5%A1%C4%8De%5d=%22Vrhovno%20sodi%C5%A1%C4%8De%22&amp;dep_title%5bUpravni%20oddelek%5d=%22Upravni%20oddelek%22&amp;meet_dateFrom=&amp;meet_dateTo=&amp;senat_judge=&amp;areas=davki&amp;institutes=&amp;core_text=&amp;decision=&amp;description=&amp;connection2=&amp;publication=&amp;rowsPerPage=20&amp;page=0&amp;id=2015081111401244" TargetMode="External"/><Relationship Id="rId20" Type="http://schemas.openxmlformats.org/officeDocument/2006/relationships/hyperlink" Target="http://www.sodisce.si/usrs/odlocitve/2015081111431554/" TargetMode="External"/><Relationship Id="rId1" Type="http://schemas.openxmlformats.org/officeDocument/2006/relationships/hyperlink" Target="https://sodnapraksa.si/?q=X%20Ips%20799/2005%20&amp;database%5bSOVS%5d=SOVS&amp;_submit=i%C5%A1%C4%8Di&amp;rowsPerPage=20&amp;page=0&amp;id=64015" TargetMode="External"/><Relationship Id="rId6" Type="http://schemas.openxmlformats.org/officeDocument/2006/relationships/hyperlink" Target="https://sodnapraksa.si/?q=X%20Ips%20799/2005%20&amp;database%5bSOVS%5d=SOVS&amp;_submit=i%C5%A1%C4%8Di&amp;rowsPerPage=20&amp;page=0&amp;id=64015" TargetMode="External"/><Relationship Id="rId11" Type="http://schemas.openxmlformats.org/officeDocument/2006/relationships/hyperlink" Target="https://sodnapraksa.si/?q=X%20Ips%20799/2005&amp;advanceSerch=1&amp;database%5bSOVS%5d=SOVS&amp;_submit=i%C5%A1%C4%8Di&amp;doc_code=&amp;task_code=&amp;source2=&amp;us_decision=&amp;ecli=&amp;trib_title%5bVrhovno%20sodi%C5%A1%C4%8De%5d=%22Vrhovno%20sodi%C5%A1%C4%8De%22&amp;dep_title%5bUpravni%20oddelek%5d=%22Upravni%20oddelek%22&amp;meet_dateFrom=&amp;meet_dateTo=&amp;senat_judge=&amp;areas=davki&amp;institutes=&amp;core_text=&amp;decision=&amp;description=&amp;connection2=&amp;publication=&amp;rowsPerPage=20&amp;page=0&amp;id=64015" TargetMode="External"/><Relationship Id="rId5" Type="http://schemas.openxmlformats.org/officeDocument/2006/relationships/hyperlink" Target="https://sodnapraksa.si/?q=II%20U%20101/2011%20&amp;database%5bUPRS%5d=UPRS&amp;_submit=i%C5%A1%C4%8Di&amp;rowsPerPage=20&amp;page=0&amp;id=2012032113048365" TargetMode="External"/><Relationship Id="rId15" Type="http://schemas.openxmlformats.org/officeDocument/2006/relationships/hyperlink" Target="https://sodnapraksa.si/?q=X%20Ips%20375/2016&amp;advanceSerch=1&amp;database%5bSOVS%5d=SOVS&amp;_submit=i%C5%A1%C4%8Di&amp;doc_code=&amp;task_code=&amp;source2=&amp;us_decision=&amp;ecli=&amp;trib_title%5bVrhovno%20sodi%C5%A1%C4%8De%5d=%22Vrhovno%20sodi%C5%A1%C4%8De%22&amp;dep_title%5bUpravni%20oddelek%5d=%22Upravni%20oddelek%22&amp;meet_dateFrom=&amp;meet_dateTo=&amp;senat_judge=&amp;areas=davki&amp;institutes=&amp;core_text=&amp;decision=&amp;description=&amp;connection2=&amp;publication=&amp;rowsPerPage=20&amp;page=0&amp;id=2015081111423368" TargetMode="External"/><Relationship Id="rId10" Type="http://schemas.openxmlformats.org/officeDocument/2006/relationships/hyperlink" Target="https://www.us-rs.si/documents/ee/82/u-i-45-99-lm-testen2.pdf" TargetMode="External"/><Relationship Id="rId19" Type="http://schemas.openxmlformats.org/officeDocument/2006/relationships/hyperlink" Target="https://www.sodnapraksa.si/?q=X%20Ips%2043/2016&amp;advanceSerch=1&amp;database%5bSOVS%5d=SOVS&amp;doc_code=&amp;task_code=&amp;source2=&amp;us_decision=&amp;ecli=&amp;trib_title%5bVrhovno%20sodi%C5%A1%C4%8De%5d=%22Vrhovno%20sodi%C5%A1%C4%8De%22&amp;dep_title%5bKazenski%20oddelek%5d=%22Kazenski%20oddelek%22&amp;dep_title%5bUpravni%20oddelek%5d=%22Upravni%20oddelek%22&amp;meet_dateFrom=&amp;meet_dateTo=&amp;senat_judge=&amp;areas=&amp;institutes=&amp;core_text=&amp;decision=&amp;description=&amp;connection2=&amp;publication=&amp;_submit2=i%C5%A1%C4%8Di&amp;rowsPerPage=20&amp;page=0&amp;id=2015081111425087" TargetMode="External"/><Relationship Id="rId4" Type="http://schemas.openxmlformats.org/officeDocument/2006/relationships/hyperlink" Target="https://sodnapraksa.si/?q=I%20U%201138/2015%20&amp;database%5bUPRS%5d=UPRS&amp;_submit=i%C5%A1%C4%8Di&amp;rowsPerPage=20&amp;page=0&amp;id=2015081111396989" TargetMode="External"/><Relationship Id="rId9" Type="http://schemas.openxmlformats.org/officeDocument/2006/relationships/hyperlink" Target="https://sodnapraksa.si/?q=rok%20za%20izdajo%20odlo%C4%8Dbe%20zastaranje*%20&amp;database%5bSOVS%5d=SOVS&amp;_submit=i%C5%A1%C4%8Di&amp;rowsPerPage=20&amp;page=0&amp;id=20500" TargetMode="External"/><Relationship Id="rId14" Type="http://schemas.openxmlformats.org/officeDocument/2006/relationships/hyperlink" Target="https://sodnapraksa.si/?q=X%20Ips%20375/2016&amp;advanceSerch=1&amp;database%5bSOVS%5d=SOVS&amp;_submit=i%C5%A1%C4%8Di&amp;doc_code=&amp;task_code=&amp;source2=&amp;us_decision=&amp;ecli=&amp;trib_title%5bVrhovno%20sodi%C5%A1%C4%8De%5d=%22Vrhovno%20sodi%C5%A1%C4%8De%22&amp;dep_title%5bUpravni%20oddelek%5d=%22Upravni%20oddelek%22&amp;meet_dateFrom=&amp;meet_dateTo=&amp;senat_judge=&amp;areas=davki&amp;institutes=&amp;core_text=&amp;decision=&amp;description=&amp;connection2=&amp;publication=&amp;rowsPerPage=20&amp;page=0&amp;id=2015081111423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AFA8-345E-4AB6-9339-03947E64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3</TotalTime>
  <Pages>1</Pages>
  <Words>3467</Words>
  <Characters>19768</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Pečaver</dc:creator>
  <cp:lastModifiedBy>FURS</cp:lastModifiedBy>
  <cp:revision>7</cp:revision>
  <cp:lastPrinted>2010-07-05T10:38:00Z</cp:lastPrinted>
  <dcterms:created xsi:type="dcterms:W3CDTF">2024-10-14T11:41:00Z</dcterms:created>
  <dcterms:modified xsi:type="dcterms:W3CDTF">2024-10-14T11:55:00Z</dcterms:modified>
</cp:coreProperties>
</file>