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2936C2">
      <w:pPr>
        <w:pStyle w:val="Telobesedila"/>
      </w:pPr>
    </w:p>
    <w:p w:rsidR="002936C2" w:rsidRDefault="00C12D4E">
      <w:pPr>
        <w:pStyle w:val="Naslov1"/>
        <w:tabs>
          <w:tab w:val="left" w:pos="672"/>
          <w:tab w:val="left" w:pos="1246"/>
        </w:tabs>
        <w:spacing w:before="226"/>
      </w:pPr>
      <w:r>
        <w:rPr>
          <w:rFonts w:ascii="Times New Roman" w:hAnsi="Times New Roman"/>
          <w:b w:val="0"/>
          <w:w w:val="99"/>
          <w:u w:val="single" w:color="428299"/>
        </w:rPr>
        <w:t xml:space="preserve"> </w:t>
      </w:r>
      <w:r>
        <w:rPr>
          <w:rFonts w:ascii="Times New Roman" w:hAnsi="Times New Roman"/>
          <w:b w:val="0"/>
          <w:u w:val="single" w:color="428299"/>
        </w:rPr>
        <w:tab/>
      </w:r>
      <w:r>
        <w:rPr>
          <w:rFonts w:ascii="Times New Roman" w:hAnsi="Times New Roman"/>
          <w:b w:val="0"/>
        </w:rPr>
        <w:tab/>
      </w:r>
      <w:r>
        <w:t>DAVEK OD DOBIČKA OD ODSVOJITVE</w:t>
      </w:r>
      <w:r>
        <w:rPr>
          <w:spacing w:val="-12"/>
        </w:rPr>
        <w:t xml:space="preserve"> </w:t>
      </w:r>
      <w:r>
        <w:t>IZVEDENIH</w:t>
      </w:r>
    </w:p>
    <w:p w:rsidR="002936C2" w:rsidRDefault="00C12D4E">
      <w:pPr>
        <w:spacing w:before="2" w:line="368" w:lineRule="exact"/>
        <w:ind w:left="2926"/>
        <w:rPr>
          <w:b/>
          <w:sz w:val="32"/>
        </w:rPr>
      </w:pPr>
      <w:r>
        <w:rPr>
          <w:b/>
          <w:sz w:val="32"/>
        </w:rPr>
        <w:t>FINANČNIH INSTRUMENTOV</w:t>
      </w:r>
    </w:p>
    <w:p w:rsidR="002936C2" w:rsidRDefault="00C12D4E">
      <w:pPr>
        <w:ind w:left="1261" w:right="500"/>
        <w:jc w:val="center"/>
        <w:rPr>
          <w:b/>
          <w:sz w:val="32"/>
        </w:rPr>
      </w:pPr>
      <w:r>
        <w:rPr>
          <w:b/>
          <w:sz w:val="32"/>
        </w:rPr>
        <w:t>Dostava podatkov za odmero davka od dobička od odsvojitve izvedenih finančnih instrumentov</w:t>
      </w:r>
    </w:p>
    <w:p w:rsidR="002936C2" w:rsidRDefault="002936C2">
      <w:pPr>
        <w:pStyle w:val="Telobesedila"/>
        <w:rPr>
          <w:b/>
          <w:sz w:val="36"/>
        </w:rPr>
      </w:pPr>
    </w:p>
    <w:p w:rsidR="002936C2" w:rsidRDefault="002936C2">
      <w:pPr>
        <w:pStyle w:val="Telobesedila"/>
        <w:rPr>
          <w:b/>
          <w:sz w:val="36"/>
        </w:rPr>
      </w:pPr>
    </w:p>
    <w:p w:rsidR="002936C2" w:rsidRDefault="002936C2">
      <w:pPr>
        <w:pStyle w:val="Telobesedila"/>
        <w:rPr>
          <w:b/>
          <w:sz w:val="36"/>
        </w:rPr>
      </w:pPr>
    </w:p>
    <w:p w:rsidR="002936C2" w:rsidRDefault="002936C2">
      <w:pPr>
        <w:pStyle w:val="Telobesedila"/>
        <w:rPr>
          <w:b/>
          <w:sz w:val="36"/>
        </w:rPr>
      </w:pPr>
    </w:p>
    <w:p w:rsidR="002936C2" w:rsidRDefault="002936C2">
      <w:pPr>
        <w:pStyle w:val="Telobesedila"/>
        <w:spacing w:before="3"/>
        <w:rPr>
          <w:b/>
          <w:sz w:val="46"/>
        </w:rPr>
      </w:pPr>
    </w:p>
    <w:p w:rsidR="002936C2" w:rsidRDefault="00C12D4E">
      <w:pPr>
        <w:pStyle w:val="Naslov2"/>
        <w:spacing w:before="1"/>
        <w:ind w:right="498"/>
        <w:jc w:val="center"/>
      </w:pPr>
      <w:r>
        <w:t>Podrobnejši opis</w:t>
      </w: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rPr>
          <w:b/>
          <w:sz w:val="30"/>
        </w:rPr>
      </w:pPr>
    </w:p>
    <w:p w:rsidR="002936C2" w:rsidRDefault="002936C2">
      <w:pPr>
        <w:pStyle w:val="Telobesedila"/>
        <w:spacing w:before="1"/>
        <w:rPr>
          <w:b/>
          <w:sz w:val="40"/>
        </w:rPr>
      </w:pPr>
    </w:p>
    <w:p w:rsidR="002936C2" w:rsidRDefault="00C12D4E">
      <w:pPr>
        <w:ind w:left="3575"/>
        <w:rPr>
          <w:b/>
          <w:sz w:val="28"/>
        </w:rPr>
      </w:pPr>
      <w:r>
        <w:rPr>
          <w:b/>
          <w:sz w:val="28"/>
        </w:rPr>
        <w:t>1. izdaja, JANUAR 2015</w:t>
      </w:r>
    </w:p>
    <w:p w:rsidR="002936C2" w:rsidRDefault="002936C2">
      <w:pPr>
        <w:rPr>
          <w:sz w:val="28"/>
        </w:rPr>
        <w:sectPr w:rsidR="002936C2" w:rsidSect="002A3448">
          <w:headerReference w:type="default" r:id="rId7"/>
          <w:headerReference w:type="first" r:id="rId8"/>
          <w:type w:val="continuous"/>
          <w:pgSz w:w="11900" w:h="16850"/>
          <w:pgMar w:top="860" w:right="1580" w:bottom="280" w:left="820" w:header="708" w:footer="708" w:gutter="0"/>
          <w:cols w:space="708"/>
          <w:titlePg/>
          <w:docGrid w:linePitch="299"/>
        </w:sectPr>
      </w:pPr>
    </w:p>
    <w:p w:rsidR="002936C2" w:rsidRDefault="00C12D4E">
      <w:pPr>
        <w:pStyle w:val="Naslov3"/>
        <w:ind w:firstLine="0"/>
      </w:pPr>
      <w:r>
        <w:lastRenderedPageBreak/>
        <w:t>KAZALO</w:t>
      </w:r>
    </w:p>
    <w:p w:rsidR="002936C2" w:rsidRDefault="003A10DE">
      <w:pPr>
        <w:pStyle w:val="Odstavekseznama"/>
        <w:numPr>
          <w:ilvl w:val="1"/>
          <w:numId w:val="2"/>
        </w:numPr>
        <w:tabs>
          <w:tab w:val="left" w:pos="1499"/>
          <w:tab w:val="right" w:leader="dot" w:pos="9372"/>
        </w:tabs>
        <w:spacing w:before="308"/>
        <w:ind w:hanging="333"/>
        <w:jc w:val="left"/>
        <w:rPr>
          <w:sz w:val="20"/>
        </w:rPr>
      </w:pPr>
      <w:hyperlink w:anchor="_bookmark0" w:history="1">
        <w:r w:rsidR="00C12D4E">
          <w:rPr>
            <w:sz w:val="20"/>
          </w:rPr>
          <w:t>SPLOŠNO</w:t>
        </w:r>
        <w:r w:rsidR="00C12D4E">
          <w:rPr>
            <w:sz w:val="20"/>
          </w:rPr>
          <w:tab/>
          <w:t>3</w:t>
        </w:r>
      </w:hyperlink>
    </w:p>
    <w:bookmarkStart w:id="0" w:name="_GoBack"/>
    <w:bookmarkEnd w:id="0"/>
    <w:p w:rsidR="002936C2" w:rsidRDefault="003A10DE">
      <w:pPr>
        <w:pStyle w:val="Odstavekseznama"/>
        <w:numPr>
          <w:ilvl w:val="1"/>
          <w:numId w:val="2"/>
        </w:numPr>
        <w:tabs>
          <w:tab w:val="left" w:pos="1777"/>
          <w:tab w:val="right" w:leader="dot" w:pos="9373"/>
        </w:tabs>
        <w:ind w:left="1776" w:hanging="328"/>
        <w:jc w:val="left"/>
        <w:rPr>
          <w:rFonts w:ascii="Trebuchet MS" w:hAnsi="Trebuchet MS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 w:rsidR="00C12D4E">
        <w:rPr>
          <w:rFonts w:ascii="Trebuchet MS" w:hAnsi="Trebuchet MS"/>
        </w:rPr>
        <w:t>Oblika</w:t>
      </w:r>
      <w:r w:rsidR="00C12D4E">
        <w:rPr>
          <w:rFonts w:ascii="Trebuchet MS" w:hAnsi="Trebuchet MS"/>
          <w:spacing w:val="-20"/>
        </w:rPr>
        <w:t xml:space="preserve"> </w:t>
      </w:r>
      <w:r w:rsidR="00C12D4E">
        <w:rPr>
          <w:rFonts w:ascii="Trebuchet MS" w:hAnsi="Trebuchet MS"/>
        </w:rPr>
        <w:t>in</w:t>
      </w:r>
      <w:r w:rsidR="00C12D4E">
        <w:rPr>
          <w:rFonts w:ascii="Trebuchet MS" w:hAnsi="Trebuchet MS"/>
          <w:spacing w:val="-21"/>
        </w:rPr>
        <w:t xml:space="preserve"> </w:t>
      </w:r>
      <w:r w:rsidR="00C12D4E">
        <w:rPr>
          <w:rFonts w:ascii="Trebuchet MS" w:hAnsi="Trebuchet MS"/>
        </w:rPr>
        <w:t>način</w:t>
      </w:r>
      <w:r w:rsidR="00C12D4E">
        <w:rPr>
          <w:rFonts w:ascii="Trebuchet MS" w:hAnsi="Trebuchet MS"/>
          <w:spacing w:val="-20"/>
        </w:rPr>
        <w:t xml:space="preserve"> </w:t>
      </w:r>
      <w:r w:rsidR="00C12D4E">
        <w:rPr>
          <w:rFonts w:ascii="Trebuchet MS" w:hAnsi="Trebuchet MS"/>
        </w:rPr>
        <w:t>dostave</w:t>
      </w:r>
      <w:r w:rsidR="00C12D4E">
        <w:rPr>
          <w:rFonts w:ascii="Trebuchet MS" w:hAnsi="Trebuchet MS"/>
          <w:spacing w:val="-23"/>
        </w:rPr>
        <w:t xml:space="preserve"> </w:t>
      </w:r>
      <w:r w:rsidR="00C12D4E">
        <w:rPr>
          <w:rFonts w:ascii="Trebuchet MS" w:hAnsi="Trebuchet MS"/>
        </w:rPr>
        <w:t>podatkov</w:t>
      </w:r>
      <w:r w:rsidR="00C12D4E">
        <w:rPr>
          <w:rFonts w:ascii="Trebuchet MS" w:hAnsi="Trebuchet MS"/>
        </w:rPr>
        <w:tab/>
        <w:t>3</w:t>
      </w:r>
      <w:r>
        <w:rPr>
          <w:rFonts w:ascii="Trebuchet MS" w:hAnsi="Trebuchet MS"/>
        </w:rPr>
        <w:fldChar w:fldCharType="end"/>
      </w:r>
    </w:p>
    <w:p w:rsidR="002936C2" w:rsidRDefault="002936C2">
      <w:pPr>
        <w:rPr>
          <w:rFonts w:ascii="Trebuchet MS" w:hAnsi="Trebuchet MS"/>
        </w:rPr>
        <w:sectPr w:rsidR="002936C2">
          <w:footerReference w:type="default" r:id="rId9"/>
          <w:pgSz w:w="11900" w:h="16850"/>
          <w:pgMar w:top="1600" w:right="1580" w:bottom="1000" w:left="820" w:header="0" w:footer="816" w:gutter="0"/>
          <w:pgNumType w:start="2"/>
          <w:cols w:space="708"/>
        </w:sectPr>
      </w:pPr>
    </w:p>
    <w:p w:rsidR="002936C2" w:rsidRDefault="00C12D4E">
      <w:pPr>
        <w:pStyle w:val="Naslov3"/>
        <w:numPr>
          <w:ilvl w:val="1"/>
          <w:numId w:val="1"/>
        </w:numPr>
        <w:tabs>
          <w:tab w:val="left" w:pos="1285"/>
        </w:tabs>
        <w:ind w:hanging="402"/>
      </w:pPr>
      <w:bookmarkStart w:id="1" w:name="_bookmark0"/>
      <w:bookmarkEnd w:id="1"/>
      <w:r>
        <w:lastRenderedPageBreak/>
        <w:t>SPLOŠNO</w:t>
      </w:r>
    </w:p>
    <w:p w:rsidR="002936C2" w:rsidRDefault="002936C2">
      <w:pPr>
        <w:pStyle w:val="Telobesedila"/>
        <w:spacing w:before="10"/>
        <w:rPr>
          <w:b/>
          <w:sz w:val="22"/>
        </w:rPr>
      </w:pPr>
    </w:p>
    <w:p w:rsidR="002936C2" w:rsidRDefault="00C12D4E">
      <w:pPr>
        <w:pStyle w:val="Telobesedila"/>
        <w:spacing w:line="271" w:lineRule="auto"/>
        <w:ind w:left="882" w:right="115"/>
        <w:jc w:val="both"/>
      </w:pPr>
      <w:r>
        <w:t>Na podlagi 23. člena</w:t>
      </w:r>
      <w:hyperlink r:id="rId10">
        <w:r>
          <w:rPr>
            <w:color w:val="0000FF"/>
            <w:u w:val="single" w:color="0000FF"/>
          </w:rPr>
          <w:t xml:space="preserve"> Zakona o davku od dobička od odsvojitve izvedenih finančnih</w:t>
        </w:r>
      </w:hyperlink>
      <w:r>
        <w:rPr>
          <w:color w:val="0000FF"/>
        </w:rPr>
        <w:t xml:space="preserve">  </w:t>
      </w:r>
      <w:hyperlink r:id="rId11">
        <w:r>
          <w:rPr>
            <w:color w:val="0000FF"/>
            <w:u w:val="single" w:color="0000FF"/>
          </w:rPr>
          <w:t>instrumentov</w:t>
        </w:r>
      </w:hyperlink>
      <w:r>
        <w:rPr>
          <w:color w:val="0000FF"/>
        </w:rPr>
        <w:t xml:space="preserve"> </w:t>
      </w:r>
      <w:r>
        <w:t>morajo i</w:t>
      </w:r>
      <w:r>
        <w:rPr>
          <w:color w:val="333333"/>
        </w:rPr>
        <w:t xml:space="preserve">zdajatelji oziroma ponudniki izvedenih finančnih instrumentov,  pooblaščeni udeleženci trga vrednostnih papirjev in druge pravne osebe, ki so posredovali pri sklepanju pravnih poslov v zvezi z izvedenimi finančnimi instrumenti </w:t>
      </w:r>
      <w:r>
        <w:t>davčnemu organu dostaviti podatke, ki se nanašajo na vse pridobitve in odsvojitve izvedenih finančnih instrumentov ter identifikacijo zavezanca za davek in zavezanca za dajanje</w:t>
      </w:r>
      <w:r>
        <w:rPr>
          <w:spacing w:val="2"/>
        </w:rPr>
        <w:t xml:space="preserve"> </w:t>
      </w:r>
      <w:r>
        <w:t>podatkov.</w:t>
      </w:r>
    </w:p>
    <w:p w:rsidR="002936C2" w:rsidRDefault="002936C2">
      <w:pPr>
        <w:pStyle w:val="Telobesedila"/>
        <w:spacing w:before="7"/>
        <w:rPr>
          <w:sz w:val="22"/>
        </w:rPr>
      </w:pPr>
    </w:p>
    <w:p w:rsidR="002936C2" w:rsidRDefault="00C12D4E">
      <w:pPr>
        <w:pStyle w:val="Telobesedila"/>
        <w:spacing w:line="271" w:lineRule="auto"/>
        <w:ind w:left="882"/>
      </w:pPr>
      <w:r>
        <w:rPr>
          <w:color w:val="333333"/>
        </w:rPr>
        <w:t>Podatki za odmero davka od dobička od odsvojitve izvedenih finančnih instrumentov se pošljejo davčnemu organu najpozneje do 31. januarja tekočega davčnega leta za preteklo davčno leto.</w:t>
      </w:r>
    </w:p>
    <w:p w:rsidR="002936C2" w:rsidRDefault="002936C2">
      <w:pPr>
        <w:pStyle w:val="Telobesedila"/>
        <w:rPr>
          <w:sz w:val="22"/>
        </w:rPr>
      </w:pPr>
    </w:p>
    <w:p w:rsidR="002936C2" w:rsidRDefault="00C12D4E">
      <w:pPr>
        <w:pStyle w:val="Naslov3"/>
        <w:numPr>
          <w:ilvl w:val="1"/>
          <w:numId w:val="1"/>
        </w:numPr>
        <w:tabs>
          <w:tab w:val="left" w:pos="1286"/>
        </w:tabs>
        <w:spacing w:before="154"/>
        <w:ind w:left="1285"/>
        <w:jc w:val="both"/>
      </w:pPr>
      <w:bookmarkStart w:id="2" w:name="_bookmark1"/>
      <w:bookmarkEnd w:id="2"/>
      <w:r>
        <w:t>Oblika in način dostave</w:t>
      </w:r>
      <w:r>
        <w:rPr>
          <w:spacing w:val="-1"/>
        </w:rPr>
        <w:t xml:space="preserve"> </w:t>
      </w:r>
      <w:r>
        <w:t>podatkov</w:t>
      </w:r>
    </w:p>
    <w:p w:rsidR="002936C2" w:rsidRDefault="002936C2">
      <w:pPr>
        <w:pStyle w:val="Telobesedila"/>
        <w:spacing w:before="5"/>
        <w:rPr>
          <w:b/>
          <w:sz w:val="25"/>
        </w:rPr>
      </w:pPr>
    </w:p>
    <w:p w:rsidR="002936C2" w:rsidRDefault="00C12D4E">
      <w:pPr>
        <w:pStyle w:val="Telobesedila"/>
        <w:ind w:left="882"/>
        <w:jc w:val="both"/>
      </w:pPr>
      <w:r>
        <w:t xml:space="preserve">Oblika in način dostave podatkov sta določena v </w:t>
      </w:r>
      <w:hyperlink r:id="rId12">
        <w:r>
          <w:rPr>
            <w:color w:val="0000FF"/>
            <w:u w:val="single" w:color="0000FF"/>
          </w:rPr>
          <w:t>Prilogi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Pravilnika o dostavi podatkov za</w:t>
        </w:r>
      </w:hyperlink>
    </w:p>
    <w:p w:rsidR="002936C2" w:rsidRDefault="003A10DE">
      <w:pPr>
        <w:pStyle w:val="Telobesedila"/>
        <w:spacing w:before="32"/>
        <w:ind w:left="882"/>
        <w:jc w:val="both"/>
      </w:pPr>
      <w:hyperlink r:id="rId14">
        <w:r w:rsidR="00C12D4E">
          <w:rPr>
            <w:rFonts w:ascii="Times New Roman" w:hAnsi="Times New Roman"/>
            <w:color w:val="0000FF"/>
            <w:w w:val="99"/>
            <w:u w:val="single" w:color="0000FF"/>
          </w:rPr>
          <w:t xml:space="preserve"> </w:t>
        </w:r>
        <w:r w:rsidR="00C12D4E">
          <w:rPr>
            <w:color w:val="0000FF"/>
            <w:u w:val="single" w:color="0000FF"/>
          </w:rPr>
          <w:t>odmero davka od dobička od odsvojitve izvedenih finančnih instrumentov</w:t>
        </w:r>
        <w:r w:rsidR="00C12D4E">
          <w:t>.</w:t>
        </w:r>
      </w:hyperlink>
    </w:p>
    <w:p w:rsidR="002936C2" w:rsidRDefault="002936C2">
      <w:pPr>
        <w:pStyle w:val="Telobesedila"/>
        <w:rPr>
          <w:sz w:val="17"/>
        </w:rPr>
      </w:pPr>
    </w:p>
    <w:p w:rsidR="002936C2" w:rsidRDefault="00C12D4E">
      <w:pPr>
        <w:pStyle w:val="Telobesedila"/>
        <w:spacing w:before="93" w:line="271" w:lineRule="auto"/>
        <w:ind w:left="882" w:right="117"/>
        <w:jc w:val="both"/>
      </w:pPr>
      <w:r>
        <w:t xml:space="preserve">Podatki se dostavijo izključno po elektronski poti preko sistema </w:t>
      </w:r>
      <w:hyperlink r:id="rId15">
        <w:proofErr w:type="spellStart"/>
        <w:r>
          <w:rPr>
            <w:color w:val="0000FF"/>
            <w:u w:val="single" w:color="0000FF"/>
          </w:rPr>
          <w:t>eDavki</w:t>
        </w:r>
        <w:proofErr w:type="spellEnd"/>
        <w:r>
          <w:t xml:space="preserve">. </w:t>
        </w:r>
      </w:hyperlink>
      <w:r>
        <w:t xml:space="preserve">Za dostop do sistema </w:t>
      </w:r>
      <w:hyperlink r:id="rId16">
        <w:proofErr w:type="spellStart"/>
        <w:r>
          <w:rPr>
            <w:color w:val="0000FF"/>
            <w:u w:val="single" w:color="0000FF"/>
          </w:rPr>
          <w:t>eDavki</w:t>
        </w:r>
        <w:proofErr w:type="spellEnd"/>
      </w:hyperlink>
      <w:r>
        <w:rPr>
          <w:color w:val="0000FF"/>
        </w:rPr>
        <w:t xml:space="preserve"> </w:t>
      </w:r>
      <w:r>
        <w:t xml:space="preserve">je potrebno imeti certificirano digitalno potrdilo. Navodila za registracijo in uporabo potrdil so objavljena na naslovu </w:t>
      </w:r>
      <w:hyperlink r:id="rId17">
        <w:proofErr w:type="spellStart"/>
        <w:r>
          <w:rPr>
            <w:color w:val="0000FF"/>
            <w:u w:val="single" w:color="0000FF"/>
          </w:rPr>
          <w:t>eDavki</w:t>
        </w:r>
        <w:proofErr w:type="spellEnd"/>
        <w:r>
          <w:rPr>
            <w:color w:val="0000FF"/>
          </w:rPr>
          <w:t xml:space="preserve"> </w:t>
        </w:r>
      </w:hyperlink>
      <w:r>
        <w:t>v področju</w:t>
      </w:r>
      <w:r>
        <w:rPr>
          <w:spacing w:val="-7"/>
        </w:rPr>
        <w:t xml:space="preserve"> </w:t>
      </w:r>
      <w:r>
        <w:t>»</w:t>
      </w:r>
      <w:hyperlink r:id="rId18">
        <w:r>
          <w:rPr>
            <w:color w:val="0000FF"/>
            <w:u w:val="single" w:color="0000FF"/>
          </w:rPr>
          <w:t>Registracija</w:t>
        </w:r>
      </w:hyperlink>
      <w:r>
        <w:t>«.</w:t>
      </w:r>
    </w:p>
    <w:sectPr w:rsidR="002936C2">
      <w:pgSz w:w="11900" w:h="16850"/>
      <w:pgMar w:top="1600" w:right="1580" w:bottom="1000" w:left="820" w:header="0" w:footer="8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DE" w:rsidRDefault="003A10DE">
      <w:r>
        <w:separator/>
      </w:r>
    </w:p>
  </w:endnote>
  <w:endnote w:type="continuationSeparator" w:id="0">
    <w:p w:rsidR="003A10DE" w:rsidRDefault="003A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C2" w:rsidRDefault="002835BA">
    <w:pPr>
      <w:pStyle w:val="Telobesedila"/>
      <w:spacing w:line="14" w:lineRule="auto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6383020</wp:posOffset>
              </wp:positionH>
              <wp:positionV relativeFrom="page">
                <wp:posOffset>10036175</wp:posOffset>
              </wp:positionV>
              <wp:extent cx="121285" cy="16700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6C2" w:rsidRDefault="00C12D4E">
                          <w:pPr>
                            <w:pStyle w:val="Telobesedila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448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pt;margin-top:790.2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" filled="f" stroked="f">
              <v:textbox inset="0,0,0,0">
                <w:txbxContent>
                  <w:p w:rsidR="002936C2" w:rsidRDefault="00C12D4E">
                    <w:pPr>
                      <w:pStyle w:val="Telobesedila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448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DE" w:rsidRDefault="003A10DE">
      <w:r>
        <w:separator/>
      </w:r>
    </w:p>
  </w:footnote>
  <w:footnote w:type="continuationSeparator" w:id="0">
    <w:p w:rsidR="003A10DE" w:rsidRDefault="003A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9" w:rsidRPr="001D5009" w:rsidRDefault="001D5009" w:rsidP="001D5009">
    <w:pPr>
      <w:widowControl/>
      <w:tabs>
        <w:tab w:val="left" w:pos="5112"/>
      </w:tabs>
      <w:autoSpaceDE/>
      <w:autoSpaceDN/>
      <w:spacing w:line="260" w:lineRule="atLeast"/>
      <w:rPr>
        <w:rFonts w:eastAsia="Times New Roman"/>
        <w:sz w:val="20"/>
        <w:szCs w:val="24"/>
        <w:lang w:val="sl-SI" w:eastAsia="en-US"/>
      </w:rPr>
    </w:pPr>
  </w:p>
  <w:p w:rsidR="001D5009" w:rsidRPr="001D5009" w:rsidRDefault="001D5009" w:rsidP="001D500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A3448" w:rsidRPr="002A3448" w:rsidTr="00726A7B">
      <w:trPr>
        <w:cantSplit/>
        <w:trHeight w:hRule="exact" w:val="847"/>
      </w:trPr>
      <w:tc>
        <w:tcPr>
          <w:tcW w:w="567" w:type="dxa"/>
        </w:tcPr>
        <w:p w:rsidR="002A3448" w:rsidRPr="002A3448" w:rsidRDefault="002A3448" w:rsidP="002A3448">
          <w:pPr>
            <w:widowControl/>
            <w:adjustRightInd w:val="0"/>
            <w:rPr>
              <w:rFonts w:ascii="Republika" w:eastAsia="Times New Roman" w:hAnsi="Republika"/>
              <w:color w:val="529DBA"/>
              <w:sz w:val="60"/>
              <w:szCs w:val="60"/>
              <w:lang w:val="sl-SI" w:eastAsia="en-US"/>
            </w:rPr>
          </w:pPr>
          <w:r w:rsidRPr="002A3448">
            <w:rPr>
              <w:rFonts w:ascii="Republika" w:eastAsia="Times New Roman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  <w:p w:rsidR="002A3448" w:rsidRPr="002A3448" w:rsidRDefault="002A3448" w:rsidP="002A3448">
          <w:pPr>
            <w:widowControl/>
            <w:autoSpaceDE/>
            <w:autoSpaceDN/>
            <w:spacing w:line="260" w:lineRule="atLeast"/>
            <w:rPr>
              <w:rFonts w:ascii="Republika" w:eastAsia="Times New Roman" w:hAnsi="Republika"/>
              <w:sz w:val="60"/>
              <w:szCs w:val="60"/>
              <w:lang w:val="sl-SI" w:eastAsia="en-US"/>
            </w:rPr>
          </w:pPr>
        </w:p>
      </w:tc>
    </w:tr>
  </w:tbl>
  <w:p w:rsidR="002A3448" w:rsidRPr="002A3448" w:rsidRDefault="002A3448" w:rsidP="002A3448">
    <w:pPr>
      <w:widowControl/>
      <w:adjustRightInd w:val="0"/>
      <w:rPr>
        <w:rFonts w:ascii="Republika" w:eastAsia="Times New Roman" w:hAnsi="Republika"/>
        <w:sz w:val="20"/>
        <w:szCs w:val="24"/>
        <w:lang w:val="sl-SI" w:eastAsia="en-US"/>
      </w:rPr>
    </w:pPr>
    <w:r w:rsidRPr="002A3448">
      <w:rPr>
        <w:rFonts w:eastAsia="Times New Roman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27356A8" wp14:editId="6DD01DD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42911" id="Line 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e3ZRyx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2A3448">
      <w:rPr>
        <w:rFonts w:ascii="Republika" w:eastAsia="Times New Roman" w:hAnsi="Republika"/>
        <w:sz w:val="20"/>
        <w:szCs w:val="24"/>
        <w:lang w:val="sl-SI" w:eastAsia="en-US"/>
      </w:rPr>
      <w:t>REPUBLIKA SLOVENIJA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after="120" w:line="240" w:lineRule="exact"/>
      <w:rPr>
        <w:rFonts w:ascii="Republika Bold" w:eastAsia="Times New Roman" w:hAnsi="Republika Bold"/>
        <w:b/>
        <w:caps/>
        <w:sz w:val="20"/>
        <w:szCs w:val="24"/>
        <w:lang w:val="sl-SI" w:eastAsia="en-US"/>
      </w:rPr>
    </w:pPr>
    <w:r w:rsidRPr="002A3448">
      <w:rPr>
        <w:rFonts w:ascii="Republika Bold" w:eastAsia="Times New Roman" w:hAnsi="Republika Bold"/>
        <w:b/>
        <w:caps/>
        <w:sz w:val="20"/>
        <w:szCs w:val="24"/>
        <w:lang w:val="sl-SI" w:eastAsia="en-US"/>
      </w:rPr>
      <w:t>Ministrstvo za finance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before="120" w:after="120" w:line="240" w:lineRule="exact"/>
      <w:rPr>
        <w:rFonts w:ascii="Republika" w:eastAsia="Times New Roman" w:hAnsi="Republika"/>
        <w:caps/>
        <w:sz w:val="20"/>
        <w:szCs w:val="24"/>
        <w:lang w:val="sl-SI" w:eastAsia="en-US"/>
      </w:rPr>
    </w:pPr>
    <w:r w:rsidRPr="002A3448">
      <w:rPr>
        <w:rFonts w:ascii="Republika" w:eastAsia="Times New Roman" w:hAnsi="Republika"/>
        <w:caps/>
        <w:sz w:val="20"/>
        <w:szCs w:val="24"/>
        <w:lang w:val="sl-SI" w:eastAsia="en-US"/>
      </w:rPr>
      <w:t>FINANČNA uprava Republike Slovenije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before="240" w:line="240" w:lineRule="exact"/>
      <w:rPr>
        <w:rFonts w:eastAsia="Times New Roman" w:cs="Arial"/>
        <w:sz w:val="16"/>
        <w:szCs w:val="24"/>
        <w:lang w:val="sl-SI" w:eastAsia="en-US"/>
      </w:rPr>
    </w:pPr>
    <w:r w:rsidRPr="002A3448">
      <w:rPr>
        <w:rFonts w:eastAsia="Times New Roman" w:cs="Arial"/>
        <w:sz w:val="16"/>
        <w:szCs w:val="24"/>
        <w:lang w:val="sl-SI" w:eastAsia="en-US"/>
      </w:rPr>
      <w:t xml:space="preserve">Šmartinska cesta 55, </w:t>
    </w:r>
    <w:proofErr w:type="spellStart"/>
    <w:r w:rsidRPr="002A3448">
      <w:rPr>
        <w:rFonts w:eastAsia="Times New Roman" w:cs="Arial"/>
        <w:sz w:val="16"/>
        <w:szCs w:val="24"/>
        <w:lang w:val="sl-SI" w:eastAsia="en-US"/>
      </w:rPr>
      <w:t>p.p</w:t>
    </w:r>
    <w:proofErr w:type="spellEnd"/>
    <w:r w:rsidRPr="002A3448">
      <w:rPr>
        <w:rFonts w:eastAsia="Times New Roman" w:cs="Arial"/>
        <w:sz w:val="16"/>
        <w:szCs w:val="24"/>
        <w:lang w:val="sl-SI" w:eastAsia="en-US"/>
      </w:rPr>
      <w:t>. 631, 1001 Ljubljana</w:t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  <w:t>T: 01 478 38 00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line="240" w:lineRule="exact"/>
      <w:rPr>
        <w:rFonts w:eastAsia="Times New Roman" w:cs="Arial"/>
        <w:sz w:val="16"/>
        <w:szCs w:val="24"/>
        <w:lang w:val="sl-SI" w:eastAsia="en-US"/>
      </w:rPr>
    </w:pP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  <w:t xml:space="preserve">F: 01 478 39 00 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line="240" w:lineRule="exact"/>
      <w:rPr>
        <w:rFonts w:eastAsia="Times New Roman" w:cs="Arial"/>
        <w:sz w:val="16"/>
        <w:szCs w:val="24"/>
        <w:lang w:val="sl-SI" w:eastAsia="en-US"/>
      </w:rPr>
    </w:pP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  <w:t>E: gfu.fu@gov.si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line="240" w:lineRule="exact"/>
      <w:rPr>
        <w:rFonts w:eastAsia="Times New Roman" w:cs="Arial"/>
        <w:sz w:val="16"/>
        <w:szCs w:val="24"/>
        <w:lang w:val="sl-SI" w:eastAsia="en-US"/>
      </w:rPr>
    </w:pP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</w:r>
    <w:r w:rsidRPr="002A3448">
      <w:rPr>
        <w:rFonts w:eastAsia="Times New Roman" w:cs="Arial"/>
        <w:sz w:val="16"/>
        <w:szCs w:val="24"/>
        <w:lang w:val="sl-SI" w:eastAsia="en-US"/>
      </w:rPr>
      <w:tab/>
      <w:t>www.fu.gov.si</w:t>
    </w:r>
  </w:p>
  <w:p w:rsidR="002A3448" w:rsidRPr="002A3448" w:rsidRDefault="002A3448" w:rsidP="002A3448">
    <w:pPr>
      <w:widowControl/>
      <w:tabs>
        <w:tab w:val="left" w:pos="5112"/>
      </w:tabs>
      <w:autoSpaceDE/>
      <w:autoSpaceDN/>
      <w:spacing w:line="260" w:lineRule="atLeast"/>
      <w:rPr>
        <w:rFonts w:eastAsia="Times New Roman"/>
        <w:sz w:val="20"/>
        <w:szCs w:val="24"/>
        <w:lang w:val="sl-SI" w:eastAsia="en-US"/>
      </w:rPr>
    </w:pPr>
  </w:p>
  <w:p w:rsidR="002A3448" w:rsidRDefault="002A34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97D"/>
    <w:multiLevelType w:val="multilevel"/>
    <w:tmpl w:val="69869CEA"/>
    <w:lvl w:ilvl="0">
      <w:start w:val="1"/>
      <w:numFmt w:val="decimal"/>
      <w:lvlText w:val="%1"/>
      <w:lvlJc w:val="left"/>
      <w:pPr>
        <w:ind w:left="1498" w:hanging="334"/>
      </w:pPr>
      <w:rPr>
        <w:rFonts w:hint="default"/>
        <w:lang w:val="sl" w:eastAsia="sl" w:bidi="sl"/>
      </w:rPr>
    </w:lvl>
    <w:lvl w:ilvl="1">
      <w:numFmt w:val="decimal"/>
      <w:lvlText w:val="%1.%2"/>
      <w:lvlJc w:val="left"/>
      <w:pPr>
        <w:ind w:left="1498" w:hanging="334"/>
        <w:jc w:val="right"/>
      </w:pPr>
      <w:rPr>
        <w:rFonts w:hint="default"/>
        <w:spacing w:val="-1"/>
        <w:w w:val="99"/>
        <w:lang w:val="sl" w:eastAsia="sl" w:bidi="sl"/>
      </w:rPr>
    </w:lvl>
    <w:lvl w:ilvl="2">
      <w:numFmt w:val="bullet"/>
      <w:lvlText w:val="•"/>
      <w:lvlJc w:val="left"/>
      <w:pPr>
        <w:ind w:left="3099" w:hanging="334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899" w:hanging="334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699" w:hanging="334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499" w:hanging="334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6299" w:hanging="334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7099" w:hanging="334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99" w:hanging="334"/>
      </w:pPr>
      <w:rPr>
        <w:rFonts w:hint="default"/>
        <w:lang w:val="sl" w:eastAsia="sl" w:bidi="sl"/>
      </w:rPr>
    </w:lvl>
  </w:abstractNum>
  <w:abstractNum w:abstractNumId="1" w15:restartNumberingAfterBreak="0">
    <w:nsid w:val="747F06FA"/>
    <w:multiLevelType w:val="multilevel"/>
    <w:tmpl w:val="402418F0"/>
    <w:lvl w:ilvl="0">
      <w:start w:val="1"/>
      <w:numFmt w:val="decimal"/>
      <w:lvlText w:val="%1"/>
      <w:lvlJc w:val="left"/>
      <w:pPr>
        <w:ind w:left="1284" w:hanging="403"/>
      </w:pPr>
      <w:rPr>
        <w:rFonts w:hint="default"/>
        <w:lang w:val="sl" w:eastAsia="sl" w:bidi="sl"/>
      </w:rPr>
    </w:lvl>
    <w:lvl w:ilvl="1">
      <w:numFmt w:val="decimal"/>
      <w:lvlText w:val="%1.%2"/>
      <w:lvlJc w:val="left"/>
      <w:pPr>
        <w:ind w:left="1284" w:hanging="403"/>
      </w:pPr>
      <w:rPr>
        <w:rFonts w:ascii="Arial" w:eastAsia="Arial" w:hAnsi="Arial" w:cs="Arial" w:hint="default"/>
        <w:b/>
        <w:bCs/>
        <w:w w:val="100"/>
        <w:sz w:val="24"/>
        <w:szCs w:val="24"/>
        <w:lang w:val="sl" w:eastAsia="sl" w:bidi="sl"/>
      </w:rPr>
    </w:lvl>
    <w:lvl w:ilvl="2">
      <w:numFmt w:val="bullet"/>
      <w:lvlText w:val="•"/>
      <w:lvlJc w:val="left"/>
      <w:pPr>
        <w:ind w:left="2923" w:hanging="403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745" w:hanging="403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567" w:hanging="403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389" w:hanging="403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6211" w:hanging="403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7033" w:hanging="403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55" w:hanging="403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2"/>
    <w:rsid w:val="001B59A1"/>
    <w:rsid w:val="001D5009"/>
    <w:rsid w:val="002835BA"/>
    <w:rsid w:val="002936C2"/>
    <w:rsid w:val="002A3448"/>
    <w:rsid w:val="003A10DE"/>
    <w:rsid w:val="00872B06"/>
    <w:rsid w:val="00C12D4E"/>
    <w:rsid w:val="00C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BA69"/>
  <w15:docId w15:val="{DF857F49-4D31-4A35-887D-97E6DEB9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200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261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uiPriority w:val="1"/>
    <w:qFormat/>
    <w:pPr>
      <w:spacing w:before="97"/>
      <w:ind w:left="882" w:hanging="403"/>
      <w:outlineLvl w:val="2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1"/>
      <w:ind w:left="1284" w:hanging="403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D50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5009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1D50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5009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isrs.si/Pis.web/pregledPredpisa?id=PRAV9913" TargetMode="External"/><Relationship Id="rId18" Type="http://schemas.openxmlformats.org/officeDocument/2006/relationships/hyperlink" Target="http://edavki.durs.si/OpenPortal/Pages/Registration/Intro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radni-list.si/files/RS_-2012-052-02184-OB%7EP001-0000.PDF" TargetMode="External"/><Relationship Id="rId17" Type="http://schemas.openxmlformats.org/officeDocument/2006/relationships/hyperlink" Target="http://edavki.durs.si/OpenPortal/Pages/StartPage/StartPag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davki.durs.si/OpenPortal/Pages/StartPage/StartPage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srs.si/Pis.web/pregledPredpisa?id=ZAKO54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avki.durs.si/OpenPortal/Pages/StartPage/StartPage.aspx" TargetMode="External"/><Relationship Id="rId10" Type="http://schemas.openxmlformats.org/officeDocument/2006/relationships/hyperlink" Target="http://www.pisrs.si/Pis.web/pregledPredpisa?id=ZAKO54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isrs.si/Pis.web/pregledPredpisa?id=PRAV9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GU00SCCM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DURS</dc:creator>
  <cp:lastModifiedBy>Barbara Marić</cp:lastModifiedBy>
  <cp:revision>5</cp:revision>
  <dcterms:created xsi:type="dcterms:W3CDTF">2019-06-07T08:13:00Z</dcterms:created>
  <dcterms:modified xsi:type="dcterms:W3CDTF">2019-06-07T08:25:00Z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2019-06-07T00:00:00Z</vt:filetime>
  </property>
</Properties>
</file>