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A6A3" w14:textId="77777777" w:rsidR="00782BA2" w:rsidRDefault="00782BA2" w:rsidP="00782BA2">
      <w:pPr>
        <w:pStyle w:val="datumtevilka"/>
        <w:rPr>
          <w:rFonts w:eastAsia="Arial" w:cs="Arial"/>
          <w:bCs/>
        </w:rPr>
      </w:pPr>
    </w:p>
    <w:p w14:paraId="084B174B" w14:textId="77777777" w:rsidR="00EF63CC" w:rsidRPr="00BC2517" w:rsidRDefault="00EF63CC" w:rsidP="00DC6A71">
      <w:pPr>
        <w:pStyle w:val="datumtevilka"/>
        <w:rPr>
          <w:b/>
        </w:rPr>
      </w:pPr>
    </w:p>
    <w:p w14:paraId="43C95204" w14:textId="77777777" w:rsidR="006268BE" w:rsidRDefault="006268BE" w:rsidP="00DC6A71">
      <w:pPr>
        <w:pStyle w:val="datumtevilka"/>
        <w:rPr>
          <w:b/>
        </w:rPr>
      </w:pPr>
    </w:p>
    <w:p w14:paraId="4D893ABA" w14:textId="77777777" w:rsidR="007D75CF" w:rsidRPr="00BC2517" w:rsidRDefault="007D75CF" w:rsidP="007D75CF">
      <w:pPr>
        <w:rPr>
          <w:lang w:val="sl-SI"/>
        </w:rPr>
      </w:pPr>
    </w:p>
    <w:p w14:paraId="249EDF6B" w14:textId="0F46C214" w:rsidR="007D75CF" w:rsidRPr="00BC2517" w:rsidRDefault="00CC6609" w:rsidP="00CC6609">
      <w:pPr>
        <w:pStyle w:val="ZADEVA"/>
        <w:rPr>
          <w:lang w:val="sl-SI"/>
        </w:rPr>
      </w:pPr>
      <w:bookmarkStart w:id="0" w:name="OpisDokumenta"/>
      <w:r w:rsidRPr="00757B1E">
        <w:rPr>
          <w:lang w:val="sl-SI"/>
        </w:rPr>
        <w:t>Izvoz svežega modroplavutega tuna</w:t>
      </w:r>
      <w:bookmarkEnd w:id="0"/>
      <w:r w:rsidRPr="00757B1E">
        <w:rPr>
          <w:lang w:val="sl-SI"/>
        </w:rPr>
        <w:t xml:space="preserve"> v Korejo</w:t>
      </w:r>
    </w:p>
    <w:p w14:paraId="7DEDCA48" w14:textId="77777777" w:rsidR="0052009C" w:rsidRDefault="00000000" w:rsidP="00CC6609">
      <w:pPr>
        <w:spacing w:before="120" w:after="120"/>
        <w:jc w:val="both"/>
        <w:rPr>
          <w:rFonts w:cs="Arial"/>
          <w:szCs w:val="20"/>
          <w:lang w:val="sl-SI"/>
        </w:rPr>
      </w:pPr>
      <w:r w:rsidRPr="00782BA2">
        <w:rPr>
          <w:rFonts w:cs="Arial"/>
          <w:szCs w:val="20"/>
          <w:lang w:val="sl-SI"/>
        </w:rPr>
        <w:t xml:space="preserve"> </w:t>
      </w:r>
    </w:p>
    <w:p w14:paraId="26763820" w14:textId="77777777" w:rsidR="00CC6609" w:rsidRPr="00782BA2" w:rsidRDefault="00000000" w:rsidP="0052009C">
      <w:pPr>
        <w:spacing w:before="120" w:after="240"/>
        <w:jc w:val="both"/>
        <w:rPr>
          <w:rFonts w:eastAsia="Calibri" w:cs="Arial"/>
          <w:i/>
          <w:iCs/>
          <w:szCs w:val="20"/>
          <w:lang w:val="sl-SI"/>
        </w:rPr>
      </w:pPr>
      <w:r w:rsidRPr="00782BA2">
        <w:rPr>
          <w:rFonts w:eastAsia="Calibri" w:cs="Arial"/>
          <w:i/>
          <w:iCs/>
          <w:szCs w:val="20"/>
          <w:lang w:val="sl-SI"/>
        </w:rPr>
        <w:t>V elektronskem dopisu, z dne 2. 8. 2024, ste na nas naslovili vprašanje ka</w:t>
      </w:r>
      <w:r w:rsidR="00AA2BEF">
        <w:rPr>
          <w:rFonts w:eastAsia="Calibri" w:cs="Arial"/>
          <w:i/>
          <w:iCs/>
          <w:szCs w:val="20"/>
          <w:lang w:val="sl-SI"/>
        </w:rPr>
        <w:t>k</w:t>
      </w:r>
      <w:r w:rsidRPr="00782BA2">
        <w:rPr>
          <w:rFonts w:eastAsia="Calibri" w:cs="Arial"/>
          <w:i/>
          <w:iCs/>
          <w:szCs w:val="20"/>
          <w:lang w:val="sl-SI"/>
        </w:rPr>
        <w:t>šno dokumentacijo potrebujete pri izvozu svežega modroplavutega tuna</w:t>
      </w:r>
      <w:r>
        <w:rPr>
          <w:rFonts w:eastAsia="Calibri" w:cs="Arial"/>
          <w:i/>
          <w:iCs/>
          <w:szCs w:val="20"/>
          <w:lang w:val="sl-SI"/>
        </w:rPr>
        <w:t xml:space="preserve"> v Korejo</w:t>
      </w:r>
      <w:r w:rsidRPr="00782BA2">
        <w:rPr>
          <w:rFonts w:eastAsia="Calibri" w:cs="Arial"/>
          <w:i/>
          <w:iCs/>
          <w:szCs w:val="20"/>
          <w:lang w:val="sl-SI"/>
        </w:rPr>
        <w:t>, ulovljenega na Hrvaškem</w:t>
      </w:r>
      <w:r>
        <w:rPr>
          <w:rFonts w:eastAsia="Calibri" w:cs="Arial"/>
          <w:i/>
          <w:iCs/>
          <w:szCs w:val="20"/>
          <w:lang w:val="sl-SI"/>
        </w:rPr>
        <w:t>.</w:t>
      </w:r>
    </w:p>
    <w:p w14:paraId="2053E2CB" w14:textId="77777777" w:rsidR="00CC6609" w:rsidRPr="00782BA2" w:rsidRDefault="00000000" w:rsidP="0052009C">
      <w:pPr>
        <w:spacing w:before="120" w:after="240"/>
        <w:jc w:val="both"/>
        <w:rPr>
          <w:rFonts w:eastAsia="Calibri" w:cs="Arial"/>
          <w:kern w:val="2"/>
          <w:szCs w:val="20"/>
          <w:lang w:val="sl-SI"/>
          <w14:ligatures w14:val="standardContextual"/>
        </w:rPr>
      </w:pPr>
      <w:r w:rsidRPr="00782BA2">
        <w:rPr>
          <w:rFonts w:eastAsia="Calibri" w:cs="Arial"/>
          <w:szCs w:val="20"/>
          <w:lang w:val="sl-SI"/>
        </w:rPr>
        <w:t xml:space="preserve">V skladu z prvo točko 3. člena Uredbe </w:t>
      </w:r>
      <w:r w:rsidRPr="00782BA2">
        <w:rPr>
          <w:rFonts w:eastAsia="Calibri" w:cs="Arial"/>
          <w:kern w:val="2"/>
          <w:szCs w:val="20"/>
          <w:lang w:val="sl-SI"/>
          <w14:ligatures w14:val="standardContextual"/>
        </w:rPr>
        <w:t xml:space="preserve">(EU) 2023/2833 Evropskega parlamenta in Sveta, z dne 13. decembra 2023 o uvedbi programa za </w:t>
      </w:r>
      <w:bookmarkStart w:id="1" w:name="_Hlk174097234"/>
      <w:r w:rsidRPr="00782BA2">
        <w:rPr>
          <w:rFonts w:eastAsia="Calibri" w:cs="Arial"/>
          <w:kern w:val="2"/>
          <w:szCs w:val="20"/>
          <w:lang w:val="sl-SI"/>
          <w14:ligatures w14:val="standardContextual"/>
        </w:rPr>
        <w:t xml:space="preserve">dokumentacijo o ulovu modroplavutega tuna </w:t>
      </w:r>
      <w:bookmarkEnd w:id="1"/>
      <w:r w:rsidRPr="00782BA2">
        <w:rPr>
          <w:rFonts w:eastAsia="Calibri" w:cs="Arial"/>
          <w:kern w:val="2"/>
          <w:szCs w:val="20"/>
          <w:lang w:val="sl-SI"/>
          <w14:ligatures w14:val="standardContextual"/>
        </w:rPr>
        <w:t xml:space="preserve">(Thunnus thynnus) in o razveljavitvi Uredbe (EU) št. 640/2010 (v nadaljevanju uredba EU 2023/2833) se pri izvozu modroplavutega tuna uporablja </w:t>
      </w:r>
      <w:r w:rsidRPr="00782BA2">
        <w:rPr>
          <w:rFonts w:cs="Arial"/>
          <w:szCs w:val="20"/>
          <w:lang w:val="sl-SI"/>
        </w:rPr>
        <w:t>eBCD, tj. elektronski sistem dokumentacije o modroplavutih tunih</w:t>
      </w:r>
      <w:r w:rsidRPr="00782BA2">
        <w:rPr>
          <w:rFonts w:eastAsia="Calibri" w:cs="Arial"/>
          <w:kern w:val="2"/>
          <w:szCs w:val="20"/>
          <w:lang w:val="sl-SI"/>
          <w14:ligatures w14:val="standardContextual"/>
        </w:rPr>
        <w:t>. Navedeni člen pravi, da se sistem eBCD uporablja za vsak ulov, iztovarjanje, prenos, vključno s prenosi znotraj ribogojnice in med ribogojnicami, pretovarjanje, dajanje v mrežasto kletko za rejo, izlov, notranjo trgovino, uvoz, izvoz ali ponovni izvoz modroplavutega tuna. Papirni BCD se lahko uporablja izjemoma, kot je določeno v 11. členu uredbe EU 2023/2833.</w:t>
      </w:r>
    </w:p>
    <w:p w14:paraId="4D303DF1" w14:textId="77777777" w:rsidR="00CC6609" w:rsidRPr="00782BA2" w:rsidRDefault="00000000" w:rsidP="0052009C">
      <w:pPr>
        <w:spacing w:before="120" w:after="240"/>
        <w:jc w:val="both"/>
        <w:rPr>
          <w:rFonts w:eastAsia="Calibri" w:cs="Arial"/>
          <w:kern w:val="2"/>
          <w:szCs w:val="20"/>
          <w:lang w:val="sl-SI"/>
          <w14:ligatures w14:val="standardContextual"/>
        </w:rPr>
      </w:pPr>
      <w:r w:rsidRPr="00782BA2">
        <w:rPr>
          <w:rFonts w:eastAsia="Calibri" w:cs="Arial"/>
          <w:kern w:val="2"/>
          <w:szCs w:val="20"/>
          <w:lang w:val="sl-SI"/>
          <w14:ligatures w14:val="standardContextual"/>
        </w:rPr>
        <w:t>Dokument BCD</w:t>
      </w:r>
      <w:r>
        <w:rPr>
          <w:rFonts w:eastAsia="Calibri" w:cs="Arial"/>
          <w:kern w:val="2"/>
          <w:szCs w:val="20"/>
          <w:lang w:val="sl-SI"/>
          <w14:ligatures w14:val="standardContextual"/>
        </w:rPr>
        <w:t xml:space="preserve"> (Bluefin tuna catch document)</w:t>
      </w:r>
      <w:r w:rsidRPr="00782BA2">
        <w:rPr>
          <w:rFonts w:eastAsia="Calibri" w:cs="Arial"/>
          <w:kern w:val="2"/>
          <w:szCs w:val="20"/>
          <w:lang w:val="sl-SI"/>
          <w14:ligatures w14:val="standardContextual"/>
        </w:rPr>
        <w:t xml:space="preserve"> pomeni dokument o ulovu modroplavutega tuna, katerega oblika je določena v Prilogi 2 k Priporočilu ICCAT 18-13 in v Prilogi II k uredbi EU 2023/2833. V prilogi III pa so podana navodila za izdajo, številčenje, izpolnjevanje in potrjevanje dokumenta o ulovu modroplavutega tuna (BCD).</w:t>
      </w:r>
      <w:r>
        <w:rPr>
          <w:rFonts w:eastAsia="Calibri" w:cs="Arial"/>
          <w:kern w:val="2"/>
          <w:szCs w:val="20"/>
          <w:lang w:val="sl-SI"/>
          <w14:ligatures w14:val="standardContextual"/>
        </w:rPr>
        <w:t xml:space="preserve"> V pri točki 1. člena uredbe </w:t>
      </w:r>
      <w:r w:rsidRPr="00782BA2">
        <w:rPr>
          <w:rFonts w:eastAsia="Calibri" w:cs="Arial"/>
          <w:kern w:val="2"/>
          <w:szCs w:val="20"/>
          <w:lang w:val="sl-SI"/>
          <w14:ligatures w14:val="standardContextual"/>
        </w:rPr>
        <w:t>EU 2023/2833</w:t>
      </w:r>
      <w:r>
        <w:rPr>
          <w:rFonts w:eastAsia="Calibri" w:cs="Arial"/>
          <w:kern w:val="2"/>
          <w:szCs w:val="20"/>
          <w:lang w:val="sl-SI"/>
          <w14:ligatures w14:val="standardContextual"/>
        </w:rPr>
        <w:t xml:space="preserve"> je določena obvezna uporaba elektronskega sistema eBCD.</w:t>
      </w:r>
    </w:p>
    <w:p w14:paraId="4EC5293B" w14:textId="77777777" w:rsidR="00CC6609" w:rsidRPr="00782BA2" w:rsidRDefault="00000000" w:rsidP="0052009C">
      <w:pPr>
        <w:spacing w:before="120" w:after="240"/>
        <w:jc w:val="both"/>
        <w:rPr>
          <w:rFonts w:cs="Arial"/>
          <w:szCs w:val="20"/>
          <w:lang w:val="sl-SI"/>
        </w:rPr>
      </w:pPr>
      <w:r w:rsidRPr="00782BA2">
        <w:rPr>
          <w:rFonts w:cs="Arial"/>
          <w:szCs w:val="20"/>
          <w:lang w:val="sl-SI"/>
        </w:rPr>
        <w:t>Trgovanje z modropavutimi tuni, kamor sodi tudi izvoz, lahko izvajajo le gospodarski subjekti, ki so vpisani kot subjekti v elektronskem sistemu dokumentacije o modroplavutih tunih</w:t>
      </w:r>
      <w:r>
        <w:rPr>
          <w:rFonts w:cs="Arial"/>
          <w:szCs w:val="20"/>
          <w:lang w:val="sl-SI"/>
        </w:rPr>
        <w:t xml:space="preserve"> </w:t>
      </w:r>
      <w:r w:rsidRPr="00782BA2">
        <w:rPr>
          <w:rFonts w:cs="Arial"/>
          <w:szCs w:val="20"/>
          <w:lang w:val="sl-SI"/>
        </w:rPr>
        <w:t>(sistem eBCD), ki ga vodi ICCAT</w:t>
      </w:r>
      <w:r>
        <w:rPr>
          <w:rFonts w:cs="Arial"/>
          <w:szCs w:val="20"/>
          <w:lang w:val="sl-SI"/>
        </w:rPr>
        <w:t xml:space="preserve"> (</w:t>
      </w:r>
      <w:r w:rsidRPr="00CF25F8">
        <w:rPr>
          <w:rFonts w:cs="Arial"/>
          <w:szCs w:val="20"/>
          <w:lang w:val="sl-SI"/>
        </w:rPr>
        <w:t>The International Commission for the Conservation of Atlantic Tunas</w:t>
      </w:r>
      <w:r>
        <w:rPr>
          <w:rFonts w:cs="Arial"/>
          <w:szCs w:val="20"/>
          <w:lang w:val="sl-SI"/>
        </w:rPr>
        <w:t xml:space="preserve"> – Mednarodna komisija za ohranitev atlantskega tuna).</w:t>
      </w:r>
      <w:r w:rsidRPr="00782BA2">
        <w:rPr>
          <w:rFonts w:cs="Arial"/>
          <w:szCs w:val="20"/>
          <w:lang w:val="sl-SI"/>
        </w:rPr>
        <w:t xml:space="preserve"> Subjekti prošnjo za vpis podajo prek sistema </w:t>
      </w:r>
      <w:hyperlink r:id="rId8" w:history="1">
        <w:r w:rsidRPr="00782BA2">
          <w:rPr>
            <w:rFonts w:cs="Arial"/>
            <w:color w:val="0563C1"/>
            <w:szCs w:val="20"/>
            <w:u w:val="single"/>
            <w:lang w:val="sl-SI"/>
          </w:rPr>
          <w:t xml:space="preserve">ICCAT </w:t>
        </w:r>
        <w:proofErr w:type="spellStart"/>
        <w:r w:rsidRPr="00782BA2">
          <w:rPr>
            <w:rFonts w:cs="Arial"/>
            <w:color w:val="0563C1"/>
            <w:szCs w:val="20"/>
            <w:u w:val="single"/>
            <w:lang w:val="sl-SI"/>
          </w:rPr>
          <w:t>eBCD</w:t>
        </w:r>
        <w:proofErr w:type="spellEnd"/>
      </w:hyperlink>
      <w:r w:rsidRPr="00782BA2">
        <w:rPr>
          <w:rFonts w:cs="Arial"/>
          <w:szCs w:val="20"/>
          <w:lang w:val="sl-SI"/>
        </w:rPr>
        <w:t>.</w:t>
      </w:r>
    </w:p>
    <w:p w14:paraId="7CCB9EBC" w14:textId="77777777" w:rsidR="00CC6609" w:rsidRPr="00782BA2" w:rsidRDefault="00000000" w:rsidP="0052009C">
      <w:pPr>
        <w:spacing w:before="120" w:after="24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Na osnovi vašega </w:t>
      </w:r>
      <w:r w:rsidRPr="00782BA2">
        <w:rPr>
          <w:rFonts w:cs="Arial"/>
          <w:szCs w:val="20"/>
          <w:lang w:val="sl-SI"/>
        </w:rPr>
        <w:t>konkret</w:t>
      </w:r>
      <w:r>
        <w:rPr>
          <w:rFonts w:cs="Arial"/>
          <w:szCs w:val="20"/>
          <w:lang w:val="sl-SI"/>
        </w:rPr>
        <w:t>nega</w:t>
      </w:r>
      <w:r w:rsidRPr="00782BA2">
        <w:rPr>
          <w:rFonts w:cs="Arial"/>
          <w:szCs w:val="20"/>
          <w:lang w:val="sl-SI"/>
        </w:rPr>
        <w:t xml:space="preserve"> primer</w:t>
      </w:r>
      <w:r>
        <w:rPr>
          <w:rFonts w:cs="Arial"/>
          <w:szCs w:val="20"/>
          <w:lang w:val="sl-SI"/>
        </w:rPr>
        <w:t>a</w:t>
      </w:r>
      <w:r w:rsidRPr="00782BA2">
        <w:rPr>
          <w:rFonts w:cs="Arial"/>
          <w:szCs w:val="20"/>
          <w:lang w:val="sl-SI"/>
        </w:rPr>
        <w:t xml:space="preserve"> morata biti hrvaški izvoznik (prodajalec) in korejski uvoznik (kupec) vpisana v sistem eBCD. V sistemu mora biti med njima opravljena transakcija in potrjena s strani pristojnih hrvaških organov za količino, ki se izvaža v Korejo. </w:t>
      </w:r>
      <w:r>
        <w:rPr>
          <w:rFonts w:cs="Arial"/>
          <w:szCs w:val="20"/>
          <w:lang w:val="sl-SI"/>
        </w:rPr>
        <w:t>Prav tako mora i</w:t>
      </w:r>
      <w:r w:rsidRPr="00782BA2">
        <w:rPr>
          <w:rFonts w:cs="Arial"/>
          <w:szCs w:val="20"/>
          <w:lang w:val="sl-SI"/>
        </w:rPr>
        <w:t>z sistema biti razvidna sledljivost modroplavutega tuna od ulova do prodaje v Korejo</w:t>
      </w:r>
      <w:r>
        <w:rPr>
          <w:rFonts w:cs="Arial"/>
          <w:szCs w:val="20"/>
          <w:lang w:val="sl-SI"/>
        </w:rPr>
        <w:t>.</w:t>
      </w:r>
      <w:r w:rsidRPr="00782BA2">
        <w:rPr>
          <w:rFonts w:cs="Arial"/>
          <w:szCs w:val="20"/>
          <w:lang w:val="sl-SI"/>
        </w:rPr>
        <w:t xml:space="preserve"> Vsaka transakcija mora biti tudi potrjena s strani pristojnega organa</w:t>
      </w:r>
      <w:r w:rsidR="00757B1E">
        <w:rPr>
          <w:rFonts w:cs="Arial"/>
          <w:szCs w:val="20"/>
          <w:lang w:val="sl-SI"/>
        </w:rPr>
        <w:t>.</w:t>
      </w:r>
    </w:p>
    <w:p w14:paraId="2A959E7D" w14:textId="77777777" w:rsidR="00CC6609" w:rsidRPr="00782BA2" w:rsidRDefault="00000000" w:rsidP="0052009C">
      <w:pPr>
        <w:spacing w:before="120" w:after="240"/>
        <w:jc w:val="both"/>
        <w:rPr>
          <w:rFonts w:cs="Arial"/>
          <w:szCs w:val="20"/>
          <w:lang w:val="sl-SI"/>
        </w:rPr>
      </w:pPr>
      <w:r w:rsidRPr="00782BA2">
        <w:rPr>
          <w:rFonts w:cs="Arial"/>
          <w:szCs w:val="20"/>
          <w:lang w:val="sl-SI"/>
        </w:rPr>
        <w:t>Za namene izvoza v Sloveniji pa morate izvozno pošiljko najaviti, tj. da 4 ure pred predvidenim izvozom najavite izvozno pošiljko po elektronski pošti finančnemu uradu, oddelku za izvozno carinjenje, kjer se bodo modroplavuti tuni izvozno ocarinili</w:t>
      </w:r>
      <w:r>
        <w:rPr>
          <w:rFonts w:cs="Arial"/>
          <w:szCs w:val="20"/>
          <w:lang w:val="sl-SI"/>
        </w:rPr>
        <w:t>. N</w:t>
      </w:r>
      <w:r w:rsidRPr="00782BA2">
        <w:rPr>
          <w:rFonts w:cs="Arial"/>
          <w:szCs w:val="20"/>
          <w:lang w:val="sl-SI"/>
        </w:rPr>
        <w:t>ajavi priložite dokument eBCD, ki se izpiše iz sistema eBCD</w:t>
      </w:r>
      <w:r>
        <w:rPr>
          <w:rFonts w:cs="Arial"/>
          <w:szCs w:val="20"/>
          <w:lang w:val="sl-SI"/>
        </w:rPr>
        <w:t xml:space="preserve"> ter navedite: </w:t>
      </w:r>
    </w:p>
    <w:p w14:paraId="48EDF58E" w14:textId="77777777" w:rsidR="00CC6609" w:rsidRPr="00782BA2" w:rsidRDefault="00000000" w:rsidP="0052009C">
      <w:pPr>
        <w:numPr>
          <w:ilvl w:val="0"/>
          <w:numId w:val="6"/>
        </w:numPr>
        <w:spacing w:before="120" w:after="240"/>
        <w:ind w:left="357" w:hanging="357"/>
        <w:contextualSpacing/>
        <w:jc w:val="both"/>
        <w:rPr>
          <w:rFonts w:eastAsia="Calibri" w:cs="Arial"/>
          <w:kern w:val="2"/>
          <w:szCs w:val="20"/>
          <w:lang w:val="sl-SI"/>
          <w14:ligatures w14:val="standardContextual"/>
        </w:rPr>
      </w:pPr>
      <w:r w:rsidRPr="00782BA2">
        <w:rPr>
          <w:rFonts w:eastAsia="Calibri" w:cs="Arial"/>
          <w:color w:val="000000"/>
          <w:kern w:val="2"/>
          <w:szCs w:val="20"/>
          <w:lang w:val="sl-SI"/>
          <w14:ligatures w14:val="standardContextual"/>
        </w:rPr>
        <w:t>naziv izvoznika i</w:t>
      </w:r>
      <w:r w:rsidRPr="00782BA2">
        <w:rPr>
          <w:rFonts w:eastAsia="Calibri" w:cs="Arial"/>
          <w:kern w:val="2"/>
          <w:szCs w:val="20"/>
          <w:lang w:val="sl-SI"/>
          <w14:ligatures w14:val="standardContextual"/>
        </w:rPr>
        <w:t>n njegovega zastopnika,</w:t>
      </w:r>
    </w:p>
    <w:p w14:paraId="6BF221C0" w14:textId="77777777" w:rsidR="00CC6609" w:rsidRPr="00782BA2" w:rsidRDefault="00000000" w:rsidP="0052009C">
      <w:pPr>
        <w:numPr>
          <w:ilvl w:val="0"/>
          <w:numId w:val="6"/>
        </w:numPr>
        <w:spacing w:before="120" w:after="240"/>
        <w:contextualSpacing/>
        <w:jc w:val="both"/>
        <w:rPr>
          <w:rFonts w:eastAsia="Calibri" w:cs="Arial"/>
          <w:kern w:val="2"/>
          <w:szCs w:val="20"/>
          <w:lang w:val="sl-SI"/>
          <w14:ligatures w14:val="standardContextual"/>
        </w:rPr>
      </w:pPr>
      <w:r w:rsidRPr="00782BA2">
        <w:rPr>
          <w:rFonts w:eastAsia="Calibri" w:cs="Arial"/>
          <w:kern w:val="2"/>
          <w:szCs w:val="20"/>
          <w:lang w:val="sl-SI"/>
          <w14:ligatures w14:val="standardContextual"/>
        </w:rPr>
        <w:t>navedba finančnega urada, kjer se bo pošiljka izvozno ocarinila,</w:t>
      </w:r>
    </w:p>
    <w:p w14:paraId="4305A26F" w14:textId="77777777" w:rsidR="00CC6609" w:rsidRPr="00782BA2" w:rsidRDefault="00000000" w:rsidP="0052009C">
      <w:pPr>
        <w:numPr>
          <w:ilvl w:val="0"/>
          <w:numId w:val="6"/>
        </w:numPr>
        <w:spacing w:before="120" w:after="240"/>
        <w:contextualSpacing/>
        <w:jc w:val="both"/>
        <w:rPr>
          <w:rFonts w:eastAsia="Calibri" w:cs="Arial"/>
          <w:kern w:val="2"/>
          <w:szCs w:val="20"/>
          <w:lang w:val="sl-SI"/>
          <w14:ligatures w14:val="standardContextual"/>
        </w:rPr>
      </w:pPr>
      <w:r w:rsidRPr="00782BA2">
        <w:rPr>
          <w:rFonts w:eastAsia="Calibri" w:cs="Arial"/>
          <w:kern w:val="2"/>
          <w:szCs w:val="20"/>
          <w:lang w:val="sl-SI"/>
          <w14:ligatures w14:val="standardContextual"/>
        </w:rPr>
        <w:t>opis in količino modroplavutega tuna,</w:t>
      </w:r>
    </w:p>
    <w:p w14:paraId="4A355484" w14:textId="77777777" w:rsidR="00CC6609" w:rsidRPr="00782BA2" w:rsidRDefault="00000000" w:rsidP="0052009C">
      <w:pPr>
        <w:numPr>
          <w:ilvl w:val="0"/>
          <w:numId w:val="6"/>
        </w:numPr>
        <w:spacing w:before="120" w:after="240"/>
        <w:contextualSpacing/>
        <w:jc w:val="both"/>
        <w:rPr>
          <w:rFonts w:eastAsia="Calibri" w:cs="Arial"/>
          <w:kern w:val="2"/>
          <w:szCs w:val="20"/>
          <w:lang w:val="sl-SI"/>
          <w14:ligatures w14:val="standardContextual"/>
        </w:rPr>
      </w:pPr>
      <w:r w:rsidRPr="00782BA2">
        <w:rPr>
          <w:rFonts w:eastAsia="Calibri" w:cs="Arial"/>
          <w:kern w:val="2"/>
          <w:szCs w:val="20"/>
          <w:lang w:val="sl-SI"/>
          <w14:ligatures w14:val="standardContextual"/>
        </w:rPr>
        <w:t>tarifno oznako KN,</w:t>
      </w:r>
    </w:p>
    <w:p w14:paraId="7AF81DC6" w14:textId="77777777" w:rsidR="00CC6609" w:rsidRPr="00782BA2" w:rsidRDefault="00000000" w:rsidP="0052009C">
      <w:pPr>
        <w:numPr>
          <w:ilvl w:val="0"/>
          <w:numId w:val="6"/>
        </w:numPr>
        <w:spacing w:before="120" w:after="240"/>
        <w:contextualSpacing/>
        <w:jc w:val="both"/>
        <w:rPr>
          <w:rFonts w:eastAsia="Calibri" w:cs="Arial"/>
          <w:kern w:val="2"/>
          <w:szCs w:val="20"/>
          <w:lang w:val="sl-SI"/>
          <w14:ligatures w14:val="standardContextual"/>
        </w:rPr>
      </w:pPr>
      <w:r w:rsidRPr="00782BA2">
        <w:rPr>
          <w:rFonts w:eastAsia="Calibri" w:cs="Arial"/>
          <w:kern w:val="2"/>
          <w:szCs w:val="20"/>
          <w:lang w:val="sl-SI"/>
          <w14:ligatures w14:val="standardContextual"/>
        </w:rPr>
        <w:t>navedbo priložene dokumentacijo (</w:t>
      </w:r>
      <w:r w:rsidRPr="00782BA2">
        <w:rPr>
          <w:rFonts w:cs="Arial"/>
          <w:szCs w:val="20"/>
          <w:lang w:val="sl-SI"/>
        </w:rPr>
        <w:t>dokument eBCD, ki se izpiše iz sistema eBCD</w:t>
      </w:r>
      <w:r w:rsidRPr="00782BA2">
        <w:rPr>
          <w:rFonts w:eastAsia="Calibri" w:cs="Arial"/>
          <w:kern w:val="2"/>
          <w:szCs w:val="20"/>
          <w:lang w:val="sl-SI"/>
          <w14:ligatures w14:val="standardContextual"/>
        </w:rPr>
        <w:t>).</w:t>
      </w:r>
    </w:p>
    <w:p w14:paraId="1B9B1C42" w14:textId="77777777" w:rsidR="00CC6609" w:rsidRPr="00782BA2" w:rsidRDefault="00CC6609" w:rsidP="0052009C">
      <w:pPr>
        <w:spacing w:before="120" w:after="240"/>
        <w:ind w:left="360"/>
        <w:contextualSpacing/>
        <w:jc w:val="both"/>
        <w:rPr>
          <w:rFonts w:cs="Arial"/>
          <w:szCs w:val="20"/>
          <w:lang w:val="sl-SI"/>
        </w:rPr>
      </w:pPr>
    </w:p>
    <w:p w14:paraId="2897D609" w14:textId="77777777" w:rsidR="00CC6609" w:rsidRPr="00782BA2" w:rsidRDefault="00000000" w:rsidP="0052009C">
      <w:pPr>
        <w:spacing w:before="120" w:after="240"/>
        <w:jc w:val="both"/>
        <w:rPr>
          <w:rFonts w:cs="Arial"/>
          <w:szCs w:val="20"/>
          <w:lang w:val="sl-SI"/>
        </w:rPr>
      </w:pPr>
      <w:r w:rsidRPr="00782BA2">
        <w:rPr>
          <w:rFonts w:cs="Arial"/>
          <w:szCs w:val="20"/>
          <w:lang w:val="sl-SI"/>
        </w:rPr>
        <w:lastRenderedPageBreak/>
        <w:t>Rok za najavo pošiljke se smiselno uporablja v skladu s prilogo VI uredbe Komisije (ES) št. 1010/2009 z dne 22. oktobra 2009 o določitvi podrobnih pravil za izvajanje Uredbe Sveta (ES) št. 1005/2008 o vzpostavitvi sistema Skupnosti za preprečevanje nezakonitega, neprijavljenega in nereguliranega ribolova, za odvračanje od njega ter za njegovo opravljanje (UL L 280, 27. 10. 2009). Uredba št. 1010/2008 v prilogi V določa, da dokumentacija o ulovu modroplavutega tuna BCD, sprejeta s strani regionalne organizacije za upravljanje ribištva (ICCAT)</w:t>
      </w:r>
      <w:r>
        <w:rPr>
          <w:rFonts w:cs="Arial"/>
          <w:szCs w:val="20"/>
          <w:lang w:val="sl-SI"/>
        </w:rPr>
        <w:t>,</w:t>
      </w:r>
      <w:r w:rsidRPr="00782BA2">
        <w:rPr>
          <w:rFonts w:cs="Arial"/>
          <w:szCs w:val="20"/>
          <w:lang w:val="sl-SI"/>
        </w:rPr>
        <w:t xml:space="preserve"> v celoti nadomešča predložitev potrdila o ulovu, v skladu z uredbo št. 1005/2009. Navedeno pomeni, da za trgovanje z modroplavutim tunom, kamor sodi tudi izvoz, ni potrebno predložiti potrdila o ulovu, temveč </w:t>
      </w:r>
      <w:r w:rsidRPr="00782BA2">
        <w:rPr>
          <w:rFonts w:eastAsia="Calibri" w:cs="Arial"/>
          <w:kern w:val="2"/>
          <w:szCs w:val="20"/>
          <w:lang w:val="sl-SI"/>
          <w14:ligatures w14:val="standardContextual"/>
        </w:rPr>
        <w:t>dokument o ulovu modroplavutega tuna eBCD.</w:t>
      </w:r>
    </w:p>
    <w:p w14:paraId="63FAEABD" w14:textId="77777777" w:rsidR="00CC6609" w:rsidRDefault="00000000" w:rsidP="0052009C">
      <w:pPr>
        <w:spacing w:before="120" w:after="240"/>
        <w:jc w:val="both"/>
        <w:rPr>
          <w:rFonts w:cs="Arial"/>
          <w:szCs w:val="20"/>
          <w:lang w:val="sl-SI"/>
        </w:rPr>
      </w:pPr>
      <w:r w:rsidRPr="00FD1CDB">
        <w:rPr>
          <w:lang w:val="sl-SI"/>
        </w:rPr>
        <w:t>Dok</w:t>
      </w:r>
      <w:r w:rsidRPr="00782BA2">
        <w:rPr>
          <w:rFonts w:cs="Arial"/>
          <w:szCs w:val="20"/>
          <w:lang w:val="sl-SI"/>
        </w:rPr>
        <w:t xml:space="preserve">ument eBCD mora biti priložen </w:t>
      </w:r>
      <w:r>
        <w:rPr>
          <w:rFonts w:cs="Arial"/>
          <w:szCs w:val="20"/>
          <w:lang w:val="sl-SI"/>
        </w:rPr>
        <w:t xml:space="preserve">tudi </w:t>
      </w:r>
      <w:r w:rsidRPr="00782BA2">
        <w:rPr>
          <w:rFonts w:cs="Arial"/>
          <w:szCs w:val="20"/>
          <w:lang w:val="sl-SI"/>
        </w:rPr>
        <w:t>v ePrilogah izvozne deklaracije. V PE 2/3 se vpiše oznako C047 in pripadajočo številko eBCD dokumenta</w:t>
      </w:r>
      <w:r>
        <w:rPr>
          <w:rFonts w:cs="Arial"/>
          <w:szCs w:val="20"/>
          <w:lang w:val="sl-SI"/>
        </w:rPr>
        <w:t>. Izvozna deklaracija pa mora v polju Pošiljatelj/Izvoznik in Prejemnik izkazovati zadnjo transakcijo modroplavutega tuna, tj. med hrvaškim prodajalcem in korejskim kupcem.</w:t>
      </w:r>
    </w:p>
    <w:sectPr w:rsidR="00CC6609" w:rsidSect="00F002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268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3D0E" w14:textId="77777777" w:rsidR="00165851" w:rsidRDefault="00165851">
      <w:pPr>
        <w:spacing w:line="240" w:lineRule="auto"/>
      </w:pPr>
      <w:r>
        <w:separator/>
      </w:r>
    </w:p>
  </w:endnote>
  <w:endnote w:type="continuationSeparator" w:id="0">
    <w:p w14:paraId="25FD8F90" w14:textId="77777777" w:rsidR="00165851" w:rsidRDefault="001658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23E7" w14:textId="77777777" w:rsidR="005254D1" w:rsidRDefault="005254D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6758" w14:textId="77777777" w:rsidR="000B0B21" w:rsidRDefault="00000000" w:rsidP="00751D3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3828AD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C39A" w14:textId="77777777" w:rsidR="000B0B21" w:rsidRDefault="00000000" w:rsidP="00751D3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B653A6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B653A6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AEDD" w14:textId="77777777" w:rsidR="00165851" w:rsidRDefault="00165851">
      <w:pPr>
        <w:spacing w:line="240" w:lineRule="auto"/>
      </w:pPr>
      <w:r>
        <w:separator/>
      </w:r>
    </w:p>
  </w:footnote>
  <w:footnote w:type="continuationSeparator" w:id="0">
    <w:p w14:paraId="31BCF413" w14:textId="77777777" w:rsidR="00165851" w:rsidRDefault="001658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AA12" w14:textId="77777777" w:rsidR="005254D1" w:rsidRDefault="005254D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A163" w14:textId="77777777" w:rsidR="000B0B21" w:rsidRPr="00110CBD" w:rsidRDefault="000B0B2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6B3598" w14:paraId="50EA7855" w14:textId="77777777">
      <w:trPr>
        <w:cantSplit/>
        <w:trHeight w:hRule="exact" w:val="847"/>
      </w:trPr>
      <w:tc>
        <w:tcPr>
          <w:tcW w:w="567" w:type="dxa"/>
        </w:tcPr>
        <w:p w14:paraId="63A1C0B5" w14:textId="77777777" w:rsidR="000B0B21" w:rsidRDefault="00000000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4F6AB971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C590E26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80A971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F0FB2A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8E04D0E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FF8E0E8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9D927C8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D7F51A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E2D14B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8404D5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CBA505F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AA230E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0FA20E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6C8E85A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868283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49AFD0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E173071" w14:textId="77777777" w:rsidR="000B0B21" w:rsidRPr="008F3500" w:rsidRDefault="00000000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ko-K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E4C20FF" wp14:editId="599AC827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2049" style="mso-height-percent:0;mso-height-relative:page;mso-position-vertical-relative:page;mso-width-percent:0;mso-width-relative:page;mso-wrap-distance-bottom:0;mso-wrap-distance-left:9pt;mso-wrap-distance-right:9pt;mso-wrap-distance-top:0;position:absolute;v-text-anchor:top;z-index:-251658240" from="-34pt,283.5pt" to="-14.15pt,283.5pt" o:allowincell="f" fillcolor="this" stroked="t" strokecolor="#428299" strokeweight="0.5pt">
              <v:stroke joinstyle="round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14:paraId="6AAA378A" w14:textId="77777777" w:rsidR="000B0B21" w:rsidRPr="00FD746A" w:rsidRDefault="00000000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FD746A">
      <w:rPr>
        <w:rFonts w:ascii="Republika" w:hAnsi="Republika"/>
        <w:b/>
        <w:caps/>
        <w:lang w:val="sl-SI"/>
      </w:rPr>
      <w:t>Ministrstvo za finance</w:t>
    </w:r>
  </w:p>
  <w:p w14:paraId="1F2196D5" w14:textId="77777777" w:rsidR="00ED7E82" w:rsidRDefault="00000000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</w:t>
    </w:r>
    <w:r w:rsidR="00A12D5C">
      <w:rPr>
        <w:rFonts w:ascii="Republika" w:hAnsi="Republika"/>
        <w:caps/>
        <w:lang w:val="sl-SI"/>
      </w:rPr>
      <w:t xml:space="preserve"> uprava Republike Slovenije</w:t>
    </w:r>
  </w:p>
  <w:p w14:paraId="66A419DB" w14:textId="77777777" w:rsidR="005254D1" w:rsidRPr="00A12D5C" w:rsidRDefault="00000000" w:rsidP="005254D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lang w:val="sl-SI"/>
      </w:rPr>
      <w:t>Generalni finančni urad</w:t>
    </w:r>
  </w:p>
  <w:p w14:paraId="4080D467" w14:textId="77777777" w:rsidR="005254D1" w:rsidRPr="008F3500" w:rsidRDefault="00000000" w:rsidP="005254D1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Šmartinska cesta 55, p.p.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01 478 38 00</w:t>
    </w:r>
  </w:p>
  <w:p w14:paraId="29615833" w14:textId="77777777" w:rsidR="005254D1" w:rsidRPr="008F3500" w:rsidRDefault="00000000" w:rsidP="005254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gfu.fu@gov.si</w:t>
    </w:r>
  </w:p>
  <w:p w14:paraId="16815BC5" w14:textId="77777777" w:rsidR="005254D1" w:rsidRPr="008F3500" w:rsidRDefault="00000000" w:rsidP="005254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14:paraId="7BAA53BA" w14:textId="77777777" w:rsidR="000B0B21" w:rsidRPr="008F3500" w:rsidRDefault="000B0B21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3CEA65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CCEE14" w:tentative="1">
      <w:start w:val="1"/>
      <w:numFmt w:val="lowerLetter"/>
      <w:lvlText w:val="%2."/>
      <w:lvlJc w:val="left"/>
      <w:pPr>
        <w:ind w:left="1800" w:hanging="360"/>
      </w:pPr>
    </w:lvl>
    <w:lvl w:ilvl="2" w:tplc="3230D5EC" w:tentative="1">
      <w:start w:val="1"/>
      <w:numFmt w:val="lowerRoman"/>
      <w:lvlText w:val="%3."/>
      <w:lvlJc w:val="right"/>
      <w:pPr>
        <w:ind w:left="2520" w:hanging="180"/>
      </w:pPr>
    </w:lvl>
    <w:lvl w:ilvl="3" w:tplc="50D090DE" w:tentative="1">
      <w:start w:val="1"/>
      <w:numFmt w:val="decimal"/>
      <w:lvlText w:val="%4."/>
      <w:lvlJc w:val="left"/>
      <w:pPr>
        <w:ind w:left="3240" w:hanging="360"/>
      </w:pPr>
    </w:lvl>
    <w:lvl w:ilvl="4" w:tplc="0F4E7B9A" w:tentative="1">
      <w:start w:val="1"/>
      <w:numFmt w:val="lowerLetter"/>
      <w:lvlText w:val="%5."/>
      <w:lvlJc w:val="left"/>
      <w:pPr>
        <w:ind w:left="3960" w:hanging="360"/>
      </w:pPr>
    </w:lvl>
    <w:lvl w:ilvl="5" w:tplc="3B0CC5E4" w:tentative="1">
      <w:start w:val="1"/>
      <w:numFmt w:val="lowerRoman"/>
      <w:lvlText w:val="%6."/>
      <w:lvlJc w:val="right"/>
      <w:pPr>
        <w:ind w:left="4680" w:hanging="180"/>
      </w:pPr>
    </w:lvl>
    <w:lvl w:ilvl="6" w:tplc="3572C704" w:tentative="1">
      <w:start w:val="1"/>
      <w:numFmt w:val="decimal"/>
      <w:lvlText w:val="%7."/>
      <w:lvlJc w:val="left"/>
      <w:pPr>
        <w:ind w:left="5400" w:hanging="360"/>
      </w:pPr>
    </w:lvl>
    <w:lvl w:ilvl="7" w:tplc="83ACF31C" w:tentative="1">
      <w:start w:val="1"/>
      <w:numFmt w:val="lowerLetter"/>
      <w:lvlText w:val="%8."/>
      <w:lvlJc w:val="left"/>
      <w:pPr>
        <w:ind w:left="6120" w:hanging="360"/>
      </w:pPr>
    </w:lvl>
    <w:lvl w:ilvl="8" w:tplc="01845C7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D896A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0C946E" w:tentative="1">
      <w:start w:val="1"/>
      <w:numFmt w:val="lowerLetter"/>
      <w:lvlText w:val="%2."/>
      <w:lvlJc w:val="left"/>
      <w:pPr>
        <w:ind w:left="1080" w:hanging="360"/>
      </w:pPr>
    </w:lvl>
    <w:lvl w:ilvl="2" w:tplc="C6ECE44C" w:tentative="1">
      <w:start w:val="1"/>
      <w:numFmt w:val="lowerRoman"/>
      <w:lvlText w:val="%3."/>
      <w:lvlJc w:val="right"/>
      <w:pPr>
        <w:ind w:left="1800" w:hanging="180"/>
      </w:pPr>
    </w:lvl>
    <w:lvl w:ilvl="3" w:tplc="FB5821AA" w:tentative="1">
      <w:start w:val="1"/>
      <w:numFmt w:val="decimal"/>
      <w:lvlText w:val="%4."/>
      <w:lvlJc w:val="left"/>
      <w:pPr>
        <w:ind w:left="2520" w:hanging="360"/>
      </w:pPr>
    </w:lvl>
    <w:lvl w:ilvl="4" w:tplc="03A64C04" w:tentative="1">
      <w:start w:val="1"/>
      <w:numFmt w:val="lowerLetter"/>
      <w:lvlText w:val="%5."/>
      <w:lvlJc w:val="left"/>
      <w:pPr>
        <w:ind w:left="3240" w:hanging="360"/>
      </w:pPr>
    </w:lvl>
    <w:lvl w:ilvl="5" w:tplc="BF58218C" w:tentative="1">
      <w:start w:val="1"/>
      <w:numFmt w:val="lowerRoman"/>
      <w:lvlText w:val="%6."/>
      <w:lvlJc w:val="right"/>
      <w:pPr>
        <w:ind w:left="3960" w:hanging="180"/>
      </w:pPr>
    </w:lvl>
    <w:lvl w:ilvl="6" w:tplc="4D9CEFF6" w:tentative="1">
      <w:start w:val="1"/>
      <w:numFmt w:val="decimal"/>
      <w:lvlText w:val="%7."/>
      <w:lvlJc w:val="left"/>
      <w:pPr>
        <w:ind w:left="4680" w:hanging="360"/>
      </w:pPr>
    </w:lvl>
    <w:lvl w:ilvl="7" w:tplc="4B80E78C" w:tentative="1">
      <w:start w:val="1"/>
      <w:numFmt w:val="lowerLetter"/>
      <w:lvlText w:val="%8."/>
      <w:lvlJc w:val="left"/>
      <w:pPr>
        <w:ind w:left="5400" w:hanging="360"/>
      </w:pPr>
    </w:lvl>
    <w:lvl w:ilvl="8" w:tplc="734CBA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E05AA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B4CE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E472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BCB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00AB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54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041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EB3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F46D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E32954"/>
    <w:multiLevelType w:val="hybridMultilevel"/>
    <w:tmpl w:val="7638BF34"/>
    <w:lvl w:ilvl="0" w:tplc="69567616">
      <w:start w:val="1"/>
      <w:numFmt w:val="bullet"/>
      <w:lvlText w:val="¾"/>
      <w:lvlJc w:val="left"/>
      <w:pPr>
        <w:ind w:left="360" w:hanging="360"/>
      </w:pPr>
      <w:rPr>
        <w:rFonts w:ascii="Symbol" w:hAnsi="Symbol" w:hint="default"/>
      </w:rPr>
    </w:lvl>
    <w:lvl w:ilvl="1" w:tplc="9A0891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5F80C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124B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08A0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D2C5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588E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5C8E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92C1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E18C7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78E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02C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80CB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8F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0E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209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C2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5001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6969133">
    <w:abstractNumId w:val="5"/>
  </w:num>
  <w:num w:numId="2" w16cid:durableId="511383165">
    <w:abstractNumId w:val="2"/>
  </w:num>
  <w:num w:numId="3" w16cid:durableId="1824151929">
    <w:abstractNumId w:val="3"/>
  </w:num>
  <w:num w:numId="4" w16cid:durableId="1102605714">
    <w:abstractNumId w:val="0"/>
  </w:num>
  <w:num w:numId="5" w16cid:durableId="2136556720">
    <w:abstractNumId w:val="1"/>
  </w:num>
  <w:num w:numId="6" w16cid:durableId="396442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38"/>
    <w:rsid w:val="000063FF"/>
    <w:rsid w:val="000206AE"/>
    <w:rsid w:val="00023A88"/>
    <w:rsid w:val="000636E1"/>
    <w:rsid w:val="0008352D"/>
    <w:rsid w:val="000A07CE"/>
    <w:rsid w:val="000A2C92"/>
    <w:rsid w:val="000A7238"/>
    <w:rsid w:val="000B0B21"/>
    <w:rsid w:val="000D08A9"/>
    <w:rsid w:val="000E2F2B"/>
    <w:rsid w:val="000E6770"/>
    <w:rsid w:val="000E7875"/>
    <w:rsid w:val="000F3D38"/>
    <w:rsid w:val="00110CBD"/>
    <w:rsid w:val="00123D7D"/>
    <w:rsid w:val="001357B2"/>
    <w:rsid w:val="00151388"/>
    <w:rsid w:val="00151872"/>
    <w:rsid w:val="00160E5F"/>
    <w:rsid w:val="00165851"/>
    <w:rsid w:val="001A3BA5"/>
    <w:rsid w:val="001F3B21"/>
    <w:rsid w:val="001F7BC0"/>
    <w:rsid w:val="00202A77"/>
    <w:rsid w:val="00207DC8"/>
    <w:rsid w:val="00232E47"/>
    <w:rsid w:val="0024583F"/>
    <w:rsid w:val="00261D80"/>
    <w:rsid w:val="00261D99"/>
    <w:rsid w:val="00262960"/>
    <w:rsid w:val="00271CE5"/>
    <w:rsid w:val="00282020"/>
    <w:rsid w:val="00282A2F"/>
    <w:rsid w:val="00285890"/>
    <w:rsid w:val="002934F1"/>
    <w:rsid w:val="00296D93"/>
    <w:rsid w:val="00297F27"/>
    <w:rsid w:val="002A4B44"/>
    <w:rsid w:val="002B0222"/>
    <w:rsid w:val="002C7EEB"/>
    <w:rsid w:val="002F1662"/>
    <w:rsid w:val="00304726"/>
    <w:rsid w:val="00315D82"/>
    <w:rsid w:val="00347A87"/>
    <w:rsid w:val="00352109"/>
    <w:rsid w:val="003636BF"/>
    <w:rsid w:val="00370AA7"/>
    <w:rsid w:val="00371034"/>
    <w:rsid w:val="0037479F"/>
    <w:rsid w:val="00377950"/>
    <w:rsid w:val="003828AD"/>
    <w:rsid w:val="003845B4"/>
    <w:rsid w:val="00387B1A"/>
    <w:rsid w:val="0039148F"/>
    <w:rsid w:val="003B5CF4"/>
    <w:rsid w:val="003C28AA"/>
    <w:rsid w:val="003C3B1D"/>
    <w:rsid w:val="003D0306"/>
    <w:rsid w:val="003E1C74"/>
    <w:rsid w:val="003E7E9E"/>
    <w:rsid w:val="003F4966"/>
    <w:rsid w:val="00464335"/>
    <w:rsid w:val="00484A06"/>
    <w:rsid w:val="004A2490"/>
    <w:rsid w:val="004A4233"/>
    <w:rsid w:val="004A6A59"/>
    <w:rsid w:val="004B160E"/>
    <w:rsid w:val="004E3584"/>
    <w:rsid w:val="004F561D"/>
    <w:rsid w:val="0050296F"/>
    <w:rsid w:val="005149DF"/>
    <w:rsid w:val="00516550"/>
    <w:rsid w:val="005177DF"/>
    <w:rsid w:val="0052009C"/>
    <w:rsid w:val="005254D1"/>
    <w:rsid w:val="00525C18"/>
    <w:rsid w:val="00526246"/>
    <w:rsid w:val="00532C59"/>
    <w:rsid w:val="0055206D"/>
    <w:rsid w:val="00567106"/>
    <w:rsid w:val="005709F2"/>
    <w:rsid w:val="005916E5"/>
    <w:rsid w:val="005B0438"/>
    <w:rsid w:val="005E1D3C"/>
    <w:rsid w:val="006268BE"/>
    <w:rsid w:val="00632253"/>
    <w:rsid w:val="0063693C"/>
    <w:rsid w:val="00642714"/>
    <w:rsid w:val="00643C4E"/>
    <w:rsid w:val="006455CE"/>
    <w:rsid w:val="00652AC6"/>
    <w:rsid w:val="00694B33"/>
    <w:rsid w:val="006B3598"/>
    <w:rsid w:val="006C4AE3"/>
    <w:rsid w:val="006D42D9"/>
    <w:rsid w:val="006F142E"/>
    <w:rsid w:val="00726463"/>
    <w:rsid w:val="00733017"/>
    <w:rsid w:val="00751D38"/>
    <w:rsid w:val="00757B1E"/>
    <w:rsid w:val="00775FED"/>
    <w:rsid w:val="00780335"/>
    <w:rsid w:val="00782BA2"/>
    <w:rsid w:val="00783310"/>
    <w:rsid w:val="007922AD"/>
    <w:rsid w:val="00794B95"/>
    <w:rsid w:val="00794E63"/>
    <w:rsid w:val="007A4A6D"/>
    <w:rsid w:val="007D05C8"/>
    <w:rsid w:val="007D1BCF"/>
    <w:rsid w:val="007D75CF"/>
    <w:rsid w:val="007E6DC5"/>
    <w:rsid w:val="008078F7"/>
    <w:rsid w:val="0088043C"/>
    <w:rsid w:val="008906C9"/>
    <w:rsid w:val="008A5918"/>
    <w:rsid w:val="008B2E72"/>
    <w:rsid w:val="008C00F2"/>
    <w:rsid w:val="008C5738"/>
    <w:rsid w:val="008D04F0"/>
    <w:rsid w:val="008E1660"/>
    <w:rsid w:val="008E2D84"/>
    <w:rsid w:val="008F3500"/>
    <w:rsid w:val="009022B3"/>
    <w:rsid w:val="00924E3C"/>
    <w:rsid w:val="00925A8B"/>
    <w:rsid w:val="009612BB"/>
    <w:rsid w:val="0099132D"/>
    <w:rsid w:val="009B0295"/>
    <w:rsid w:val="009C5340"/>
    <w:rsid w:val="009E42F2"/>
    <w:rsid w:val="009F2033"/>
    <w:rsid w:val="00A05DC7"/>
    <w:rsid w:val="00A125C5"/>
    <w:rsid w:val="00A12D5C"/>
    <w:rsid w:val="00A216AF"/>
    <w:rsid w:val="00A3267F"/>
    <w:rsid w:val="00A36906"/>
    <w:rsid w:val="00A45EAF"/>
    <w:rsid w:val="00A5039D"/>
    <w:rsid w:val="00A65EE7"/>
    <w:rsid w:val="00A70133"/>
    <w:rsid w:val="00A72510"/>
    <w:rsid w:val="00AA2BEF"/>
    <w:rsid w:val="00AA47FE"/>
    <w:rsid w:val="00AC05DE"/>
    <w:rsid w:val="00AC56FF"/>
    <w:rsid w:val="00AC5C16"/>
    <w:rsid w:val="00AD5A5B"/>
    <w:rsid w:val="00AE1792"/>
    <w:rsid w:val="00AE2D7F"/>
    <w:rsid w:val="00AF3497"/>
    <w:rsid w:val="00B011EA"/>
    <w:rsid w:val="00B038B1"/>
    <w:rsid w:val="00B147DB"/>
    <w:rsid w:val="00B17141"/>
    <w:rsid w:val="00B31575"/>
    <w:rsid w:val="00B62CE5"/>
    <w:rsid w:val="00B63BD4"/>
    <w:rsid w:val="00B653A6"/>
    <w:rsid w:val="00B677B6"/>
    <w:rsid w:val="00B76D96"/>
    <w:rsid w:val="00B8547D"/>
    <w:rsid w:val="00BA0F8B"/>
    <w:rsid w:val="00BC2517"/>
    <w:rsid w:val="00BC61EF"/>
    <w:rsid w:val="00BE423F"/>
    <w:rsid w:val="00BF75C5"/>
    <w:rsid w:val="00C1397D"/>
    <w:rsid w:val="00C250D5"/>
    <w:rsid w:val="00C47F8D"/>
    <w:rsid w:val="00C5171C"/>
    <w:rsid w:val="00C52DAE"/>
    <w:rsid w:val="00C57EED"/>
    <w:rsid w:val="00C81391"/>
    <w:rsid w:val="00C92898"/>
    <w:rsid w:val="00C97222"/>
    <w:rsid w:val="00CA28CB"/>
    <w:rsid w:val="00CC6609"/>
    <w:rsid w:val="00CE7514"/>
    <w:rsid w:val="00CF25F8"/>
    <w:rsid w:val="00D248DE"/>
    <w:rsid w:val="00D25427"/>
    <w:rsid w:val="00D31B74"/>
    <w:rsid w:val="00D3564D"/>
    <w:rsid w:val="00D8542D"/>
    <w:rsid w:val="00DB11E1"/>
    <w:rsid w:val="00DB4E6F"/>
    <w:rsid w:val="00DC62F6"/>
    <w:rsid w:val="00DC6A71"/>
    <w:rsid w:val="00DD6CC3"/>
    <w:rsid w:val="00DE5B46"/>
    <w:rsid w:val="00E0357D"/>
    <w:rsid w:val="00E20A8F"/>
    <w:rsid w:val="00E24EC2"/>
    <w:rsid w:val="00E447E8"/>
    <w:rsid w:val="00E51C0F"/>
    <w:rsid w:val="00E8201C"/>
    <w:rsid w:val="00E94ECF"/>
    <w:rsid w:val="00EA0E3C"/>
    <w:rsid w:val="00ED00D1"/>
    <w:rsid w:val="00ED27F8"/>
    <w:rsid w:val="00ED7E82"/>
    <w:rsid w:val="00EF3280"/>
    <w:rsid w:val="00EF63CC"/>
    <w:rsid w:val="00F0025B"/>
    <w:rsid w:val="00F02E53"/>
    <w:rsid w:val="00F1126C"/>
    <w:rsid w:val="00F240BB"/>
    <w:rsid w:val="00F42CE8"/>
    <w:rsid w:val="00F46724"/>
    <w:rsid w:val="00F47F58"/>
    <w:rsid w:val="00F57FED"/>
    <w:rsid w:val="00F94746"/>
    <w:rsid w:val="00FD1CDB"/>
    <w:rsid w:val="00FD746A"/>
    <w:rsid w:val="00FE6E1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83E41E"/>
  <w15:docId w15:val="{5EE8D243-0E36-4C3E-B588-B3615CC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9E4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E42F2"/>
    <w:rPr>
      <w:rFonts w:ascii="Tahoma" w:hAnsi="Tahoma" w:cs="Tahoma"/>
      <w:sz w:val="16"/>
      <w:szCs w:val="16"/>
      <w:lang w:val="en-US" w:eastAsia="en-US"/>
    </w:rPr>
  </w:style>
  <w:style w:type="paragraph" w:styleId="Golobesedilo">
    <w:name w:val="Plain Text"/>
    <w:basedOn w:val="Navaden"/>
    <w:link w:val="GolobesediloZnak"/>
    <w:rsid w:val="0055206D"/>
    <w:pPr>
      <w:spacing w:after="120" w:line="240" w:lineRule="auto"/>
      <w:ind w:right="-284"/>
      <w:jc w:val="both"/>
    </w:pPr>
    <w:rPr>
      <w:rFonts w:ascii="Courier New" w:hAnsi="Courier New" w:cs="Arial"/>
      <w:szCs w:val="22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rsid w:val="0055206D"/>
    <w:rPr>
      <w:rFonts w:ascii="Courier New" w:hAnsi="Courier New" w:cs="Arial"/>
      <w:szCs w:val="22"/>
    </w:rPr>
  </w:style>
  <w:style w:type="character" w:styleId="Krepko">
    <w:name w:val="Strong"/>
    <w:basedOn w:val="Privzetapisavaodstavka"/>
    <w:uiPriority w:val="22"/>
    <w:qFormat/>
    <w:rsid w:val="0055206D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782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una.iccat.int/Account/Login.aspx?ReturnUrl=%2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\!Odd.%20za%20financiranje\FURS\Informacijska%20tehnologija\Dokumentni%20sistem\Predloge%20dokumentov\GFU%20DT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05129-4493-4762-B20F-94013FFA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 DT1</Template>
  <TotalTime>1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 </vt:lpstr>
    </vt:vector>
  </TitlesOfParts>
  <Company>Davčna Uprava RS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Jelka Strgar</dc:creator>
  <cp:lastModifiedBy>Jelka Strgar</cp:lastModifiedBy>
  <cp:revision>2</cp:revision>
  <cp:lastPrinted>2010-07-05T10:38:00Z</cp:lastPrinted>
  <dcterms:created xsi:type="dcterms:W3CDTF">2024-08-20T08:42:00Z</dcterms:created>
  <dcterms:modified xsi:type="dcterms:W3CDTF">2024-08-20T08:42:00Z</dcterms:modified>
</cp:coreProperties>
</file>