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320F" w14:textId="77777777" w:rsidR="007D75CF" w:rsidRPr="00BC2517" w:rsidRDefault="007D75CF" w:rsidP="007D75CF">
      <w:pPr>
        <w:rPr>
          <w:lang w:val="sl-SI"/>
        </w:rPr>
      </w:pPr>
    </w:p>
    <w:p w14:paraId="67D56651" w14:textId="77777777" w:rsidR="00D71B1F" w:rsidRDefault="00D71B1F" w:rsidP="00DC6A71">
      <w:pPr>
        <w:pStyle w:val="ZADEVA"/>
        <w:rPr>
          <w:lang w:val="sl-SI"/>
        </w:rPr>
      </w:pPr>
    </w:p>
    <w:p w14:paraId="49142DA0" w14:textId="77777777" w:rsidR="00611A9F" w:rsidRDefault="00611A9F" w:rsidP="00E557C9">
      <w:pPr>
        <w:pStyle w:val="ZADEVA"/>
        <w:jc w:val="both"/>
        <w:rPr>
          <w:lang w:val="sl-SI"/>
        </w:rPr>
      </w:pPr>
    </w:p>
    <w:p w14:paraId="477EF6B4" w14:textId="77777777" w:rsidR="00611A9F" w:rsidRDefault="00611A9F" w:rsidP="00E557C9">
      <w:pPr>
        <w:pStyle w:val="ZADEVA"/>
        <w:jc w:val="both"/>
        <w:rPr>
          <w:lang w:val="sl-SI"/>
        </w:rPr>
      </w:pPr>
    </w:p>
    <w:p w14:paraId="4C6E3C1C" w14:textId="77777777" w:rsidR="00611A9F" w:rsidRDefault="00611A9F" w:rsidP="00E557C9">
      <w:pPr>
        <w:pStyle w:val="ZADEVA"/>
        <w:jc w:val="both"/>
        <w:rPr>
          <w:lang w:val="sl-SI"/>
        </w:rPr>
      </w:pPr>
    </w:p>
    <w:p w14:paraId="232A2262" w14:textId="77777777" w:rsidR="00611A9F" w:rsidRDefault="00611A9F" w:rsidP="00E557C9">
      <w:pPr>
        <w:pStyle w:val="ZADEVA"/>
        <w:jc w:val="both"/>
        <w:rPr>
          <w:lang w:val="sl-SI"/>
        </w:rPr>
      </w:pPr>
    </w:p>
    <w:p w14:paraId="1A50B507" w14:textId="77777777" w:rsidR="00611A9F" w:rsidRDefault="00611A9F" w:rsidP="00E557C9">
      <w:pPr>
        <w:pStyle w:val="ZADEVA"/>
        <w:jc w:val="both"/>
        <w:rPr>
          <w:lang w:val="sl-SI"/>
        </w:rPr>
      </w:pPr>
    </w:p>
    <w:p w14:paraId="430174B2" w14:textId="77777777" w:rsidR="00611A9F" w:rsidRDefault="00611A9F" w:rsidP="00E557C9">
      <w:pPr>
        <w:pStyle w:val="ZADEVA"/>
        <w:jc w:val="both"/>
        <w:rPr>
          <w:lang w:val="sl-SI"/>
        </w:rPr>
      </w:pPr>
    </w:p>
    <w:p w14:paraId="11FC9EF8" w14:textId="77777777" w:rsidR="00611A9F" w:rsidRDefault="00611A9F" w:rsidP="00E557C9">
      <w:pPr>
        <w:pStyle w:val="ZADEVA"/>
        <w:jc w:val="both"/>
        <w:rPr>
          <w:lang w:val="sl-SI"/>
        </w:rPr>
      </w:pPr>
    </w:p>
    <w:p w14:paraId="00C31336" w14:textId="48876733" w:rsidR="007D75CF" w:rsidRDefault="00000000" w:rsidP="00611A9F">
      <w:pPr>
        <w:pStyle w:val="ZADEVA"/>
        <w:tabs>
          <w:tab w:val="clear" w:pos="1701"/>
          <w:tab w:val="left" w:pos="0"/>
        </w:tabs>
        <w:ind w:left="0" w:firstLine="0"/>
        <w:jc w:val="both"/>
        <w:rPr>
          <w:lang w:val="sl-SI"/>
        </w:rPr>
      </w:pPr>
      <w:bookmarkStart w:id="0" w:name="NaslovZadeve"/>
      <w:r w:rsidRPr="00D71B1F">
        <w:rPr>
          <w:lang w:val="sl-SI"/>
        </w:rPr>
        <w:t>Metoda ločenega knjigovodskega izkazovanja za vodenje zalog belega sladkorja iz tarifne oznake KN 1701 99 10</w:t>
      </w:r>
      <w:bookmarkEnd w:id="0"/>
    </w:p>
    <w:p w14:paraId="56C4B3AA" w14:textId="77777777" w:rsidR="00D71B1F" w:rsidRDefault="00D71B1F" w:rsidP="00DC6A71">
      <w:pPr>
        <w:pStyle w:val="ZADEVA"/>
        <w:rPr>
          <w:lang w:val="sl-SI"/>
        </w:rPr>
      </w:pPr>
    </w:p>
    <w:p w14:paraId="1CD85050" w14:textId="77777777" w:rsidR="00D71B1F" w:rsidRDefault="00D71B1F" w:rsidP="00D71B1F">
      <w:pPr>
        <w:jc w:val="both"/>
        <w:rPr>
          <w:lang w:val="sl-SI"/>
        </w:rPr>
      </w:pPr>
    </w:p>
    <w:p w14:paraId="318DE148" w14:textId="77777777" w:rsidR="00D71B1F" w:rsidRPr="00CD0CDC" w:rsidRDefault="00000000" w:rsidP="00D71B1F">
      <w:pPr>
        <w:jc w:val="both"/>
        <w:rPr>
          <w:b/>
          <w:bCs/>
          <w:lang w:val="sl-SI"/>
        </w:rPr>
      </w:pPr>
      <w:r w:rsidRPr="00CD0CDC">
        <w:rPr>
          <w:b/>
          <w:bCs/>
          <w:lang w:val="sl-SI"/>
        </w:rPr>
        <w:t>Splošno</w:t>
      </w:r>
    </w:p>
    <w:p w14:paraId="2B08674A" w14:textId="77777777" w:rsidR="00D71B1F" w:rsidRDefault="00D71B1F" w:rsidP="00D71B1F">
      <w:pPr>
        <w:jc w:val="both"/>
        <w:rPr>
          <w:lang w:val="sl-SI"/>
        </w:rPr>
      </w:pPr>
    </w:p>
    <w:p w14:paraId="7C6F5D71" w14:textId="77777777" w:rsidR="00D71B1F" w:rsidRDefault="00000000" w:rsidP="00D71B1F">
      <w:pPr>
        <w:jc w:val="both"/>
        <w:rPr>
          <w:lang w:val="sl-SI"/>
        </w:rPr>
      </w:pPr>
      <w:r>
        <w:rPr>
          <w:lang w:val="sl-SI"/>
        </w:rPr>
        <w:t xml:space="preserve">Metoda ločenega knjigovodskega izkazovanja zagotavlja olajšavo gospodarskim subjektom, saj dovoljuje, da se zamenljivi materiali / izdelki s poreklom in brez porekla skladiščijo skupaj na istem mestu ne da bi bili fizično ločeni in ne </w:t>
      </w:r>
      <w:r w:rsidRPr="001E1969">
        <w:rPr>
          <w:lang w:val="sl-SI"/>
        </w:rPr>
        <w:t xml:space="preserve">da bi ti </w:t>
      </w:r>
      <w:r>
        <w:rPr>
          <w:lang w:val="sl-SI"/>
        </w:rPr>
        <w:t xml:space="preserve">tako skladiščeni </w:t>
      </w:r>
      <w:r w:rsidRPr="001E1969">
        <w:rPr>
          <w:lang w:val="sl-SI"/>
        </w:rPr>
        <w:t>materiali</w:t>
      </w:r>
      <w:r>
        <w:rPr>
          <w:lang w:val="sl-SI"/>
        </w:rPr>
        <w:t xml:space="preserve"> / izdelki</w:t>
      </w:r>
      <w:r w:rsidRPr="001E1969">
        <w:rPr>
          <w:lang w:val="sl-SI"/>
        </w:rPr>
        <w:t xml:space="preserve"> s poreklom izgubili status blaga s poreklom.</w:t>
      </w:r>
      <w:r>
        <w:rPr>
          <w:lang w:val="sl-SI"/>
        </w:rPr>
        <w:t xml:space="preserve"> S to metodo lahko proizvajalci / trgovci </w:t>
      </w:r>
      <w:r w:rsidRPr="0042444D">
        <w:rPr>
          <w:lang w:val="sl-SI"/>
        </w:rPr>
        <w:t>zmanjša</w:t>
      </w:r>
      <w:r>
        <w:rPr>
          <w:lang w:val="sl-SI"/>
        </w:rPr>
        <w:t>jo</w:t>
      </w:r>
      <w:r w:rsidRPr="0042444D">
        <w:rPr>
          <w:lang w:val="sl-SI"/>
        </w:rPr>
        <w:t xml:space="preserve"> stroške ali težave, </w:t>
      </w:r>
      <w:r>
        <w:rPr>
          <w:lang w:val="sl-SI"/>
        </w:rPr>
        <w:t xml:space="preserve">ki bi nastali (-e), če bi ločeno skladiščili zaloge materialov / izdelkov </w:t>
      </w:r>
      <w:r w:rsidRPr="0042444D">
        <w:rPr>
          <w:lang w:val="sl-SI"/>
        </w:rPr>
        <w:t xml:space="preserve">s </w:t>
      </w:r>
      <w:r>
        <w:rPr>
          <w:lang w:val="sl-SI"/>
        </w:rPr>
        <w:t xml:space="preserve">poreklom in zaloge materialov / izdelkov brez porekla. </w:t>
      </w:r>
      <w:r w:rsidRPr="009C2E0C">
        <w:rPr>
          <w:lang w:val="sl-SI"/>
        </w:rPr>
        <w:t xml:space="preserve">Na splošno </w:t>
      </w:r>
      <w:r>
        <w:rPr>
          <w:lang w:val="sl-SI"/>
        </w:rPr>
        <w:t>se metoda ločenega knjigovodskega izkazovanja lahko uporablja za materiale</w:t>
      </w:r>
      <w:r>
        <w:rPr>
          <w:rStyle w:val="Sprotnaopomba-sklic"/>
          <w:lang w:val="sl-SI"/>
        </w:rPr>
        <w:footnoteReference w:id="1"/>
      </w:r>
      <w:r>
        <w:rPr>
          <w:lang w:val="sl-SI"/>
        </w:rPr>
        <w:t xml:space="preserve">, uporabljene v proizvodnji izdelkov. Navedeno pomeni, da materiali s poreklom, ki se skladiščijo skupaj z materiali brez porekla, </w:t>
      </w:r>
      <w:r w:rsidRPr="0022598E">
        <w:rPr>
          <w:lang w:val="sl-SI"/>
        </w:rPr>
        <w:t>ne izgubi</w:t>
      </w:r>
      <w:r>
        <w:rPr>
          <w:lang w:val="sl-SI"/>
        </w:rPr>
        <w:t>jo</w:t>
      </w:r>
      <w:r w:rsidRPr="0022598E">
        <w:rPr>
          <w:lang w:val="sl-SI"/>
        </w:rPr>
        <w:t xml:space="preserve"> status</w:t>
      </w:r>
      <w:r>
        <w:rPr>
          <w:lang w:val="sl-SI"/>
        </w:rPr>
        <w:t>a</w:t>
      </w:r>
      <w:r w:rsidRPr="0022598E">
        <w:rPr>
          <w:lang w:val="sl-SI"/>
        </w:rPr>
        <w:t xml:space="preserve"> blaga s poreklom</w:t>
      </w:r>
      <w:r>
        <w:rPr>
          <w:lang w:val="sl-SI"/>
        </w:rPr>
        <w:t xml:space="preserve"> le takrat, kadar se uporabijo pri izdelavi končnih izdelkov (pri obdelavi ali predelavi materialov v izdelke). Vendar pa nekateri preferencialni režimi omogočajo metodo ločenega knjigovodskega izkazovanja tudi za nekatere izdelke</w:t>
      </w:r>
      <w:r>
        <w:rPr>
          <w:rStyle w:val="Sprotnaopomba-sklic"/>
          <w:lang w:val="sl-SI"/>
        </w:rPr>
        <w:footnoteReference w:id="2"/>
      </w:r>
      <w:r>
        <w:rPr>
          <w:lang w:val="sl-SI"/>
        </w:rPr>
        <w:t xml:space="preserve"> (npr. </w:t>
      </w:r>
      <w:r w:rsidRPr="00B370B6">
        <w:rPr>
          <w:lang w:val="sl-SI"/>
        </w:rPr>
        <w:t>Celoviti gospodarski in trgovinski sporazum (CETA) med Kanado</w:t>
      </w:r>
      <w:r>
        <w:rPr>
          <w:lang w:val="sl-SI"/>
        </w:rPr>
        <w:t xml:space="preserve"> in EU dovoljuje uporabo metode ločenega </w:t>
      </w:r>
      <w:r w:rsidRPr="00B370B6">
        <w:rPr>
          <w:lang w:val="sl-SI"/>
        </w:rPr>
        <w:t>knjigovodsk</w:t>
      </w:r>
      <w:r>
        <w:rPr>
          <w:lang w:val="sl-SI"/>
        </w:rPr>
        <w:t>ega</w:t>
      </w:r>
      <w:r w:rsidRPr="00B370B6">
        <w:rPr>
          <w:lang w:val="sl-SI"/>
        </w:rPr>
        <w:t xml:space="preserve"> izkazovanj</w:t>
      </w:r>
      <w:r>
        <w:rPr>
          <w:lang w:val="sl-SI"/>
        </w:rPr>
        <w:t>a</w:t>
      </w:r>
      <w:r w:rsidRPr="00B370B6">
        <w:rPr>
          <w:lang w:val="sl-SI"/>
        </w:rPr>
        <w:t xml:space="preserve"> zamenljivih izdelkov</w:t>
      </w:r>
      <w:r>
        <w:rPr>
          <w:lang w:val="sl-SI"/>
        </w:rPr>
        <w:t xml:space="preserve"> iz p</w:t>
      </w:r>
      <w:r w:rsidRPr="00B370B6">
        <w:rPr>
          <w:lang w:val="sl-SI"/>
        </w:rPr>
        <w:t>oglav</w:t>
      </w:r>
      <w:r>
        <w:rPr>
          <w:lang w:val="sl-SI"/>
        </w:rPr>
        <w:t>i</w:t>
      </w:r>
      <w:r w:rsidRPr="00B370B6">
        <w:rPr>
          <w:lang w:val="sl-SI"/>
        </w:rPr>
        <w:t>j 10, 15, 27, 28, 29, tarifn</w:t>
      </w:r>
      <w:r>
        <w:rPr>
          <w:lang w:val="sl-SI"/>
        </w:rPr>
        <w:t>ih številk</w:t>
      </w:r>
      <w:r w:rsidRPr="00B370B6">
        <w:rPr>
          <w:lang w:val="sl-SI"/>
        </w:rPr>
        <w:t xml:space="preserve"> 3201 do 3207</w:t>
      </w:r>
      <w:r>
        <w:rPr>
          <w:lang w:val="sl-SI"/>
        </w:rPr>
        <w:t xml:space="preserve"> ter tarifnih številk </w:t>
      </w:r>
      <w:r w:rsidRPr="00B370B6">
        <w:rPr>
          <w:lang w:val="sl-SI"/>
        </w:rPr>
        <w:t>3901 do 3914 HS</w:t>
      </w:r>
      <w:r>
        <w:rPr>
          <w:lang w:val="sl-SI"/>
        </w:rPr>
        <w:t xml:space="preserve">; </w:t>
      </w:r>
      <w:r w:rsidRPr="00B370B6">
        <w:rPr>
          <w:lang w:val="sl-SI"/>
        </w:rPr>
        <w:t>Sporazum o trgovini in sodelovanju med</w:t>
      </w:r>
      <w:r>
        <w:rPr>
          <w:lang w:val="sl-SI"/>
        </w:rPr>
        <w:t xml:space="preserve"> EU in </w:t>
      </w:r>
      <w:r w:rsidRPr="00B370B6">
        <w:rPr>
          <w:lang w:val="sl-SI"/>
        </w:rPr>
        <w:t xml:space="preserve">Združenim kraljestvom </w:t>
      </w:r>
      <w:r>
        <w:rPr>
          <w:lang w:val="sl-SI"/>
        </w:rPr>
        <w:t xml:space="preserve">dovoljuje uporabo ločenega knjigovodskega izkazovanja zamenljivih izdelkov s poreklom in brez porekla, ki se uvrščajo v poglavja 10, 15, 27, 28, 28, tarifne številke 3201 do 3207 ali tarifne številke 3901 do 3914 HS). </w:t>
      </w:r>
    </w:p>
    <w:p w14:paraId="5760B6E7" w14:textId="77777777" w:rsidR="00D71B1F" w:rsidRDefault="00D71B1F" w:rsidP="00D71B1F">
      <w:pPr>
        <w:jc w:val="both"/>
        <w:rPr>
          <w:lang w:val="sl-SI"/>
        </w:rPr>
      </w:pPr>
    </w:p>
    <w:p w14:paraId="3455A9B0" w14:textId="77777777" w:rsidR="00D71B1F" w:rsidRDefault="00000000" w:rsidP="00D71B1F">
      <w:pPr>
        <w:jc w:val="both"/>
        <w:rPr>
          <w:lang w:val="sl-SI"/>
        </w:rPr>
      </w:pPr>
      <w:r w:rsidRPr="00177E41">
        <w:rPr>
          <w:lang w:val="sl-SI"/>
        </w:rPr>
        <w:t>V</w:t>
      </w:r>
      <w:r>
        <w:rPr>
          <w:lang w:val="sl-SI"/>
        </w:rPr>
        <w:t xml:space="preserve"> okviru </w:t>
      </w:r>
      <w:r w:rsidRPr="00177E41">
        <w:rPr>
          <w:lang w:val="sl-SI"/>
        </w:rPr>
        <w:t>metod</w:t>
      </w:r>
      <w:r>
        <w:rPr>
          <w:lang w:val="sl-SI"/>
        </w:rPr>
        <w:t>e</w:t>
      </w:r>
      <w:r w:rsidRPr="00177E41">
        <w:rPr>
          <w:lang w:val="sl-SI"/>
        </w:rPr>
        <w:t xml:space="preserve"> ločenega knjigovodskega </w:t>
      </w:r>
      <w:r>
        <w:rPr>
          <w:lang w:val="sl-SI"/>
        </w:rPr>
        <w:t xml:space="preserve">izkazovanja se lahko </w:t>
      </w:r>
      <w:r w:rsidRPr="00177E41">
        <w:rPr>
          <w:lang w:val="sl-SI"/>
        </w:rPr>
        <w:t xml:space="preserve">zamenljivi materiali s poreklom in materiali brez porekla (nekateri preferencialni režimi omogočajo tudi nekatere zamenljive izdelke) skladiščijo skupaj, ne da bi </w:t>
      </w:r>
      <w:r>
        <w:rPr>
          <w:lang w:val="sl-SI"/>
        </w:rPr>
        <w:t xml:space="preserve">ti </w:t>
      </w:r>
      <w:r w:rsidRPr="00177E41">
        <w:rPr>
          <w:lang w:val="sl-SI"/>
        </w:rPr>
        <w:t xml:space="preserve">materiali s poreklom izgubili status blaga s poreklom. Ta metoda mora zagotoviti, da </w:t>
      </w:r>
      <w:r>
        <w:rPr>
          <w:lang w:val="sl-SI"/>
        </w:rPr>
        <w:t xml:space="preserve">količina končnih izdelkov s poreklom ne presega količine, ki bi jo dobili, če bi bili materiali, uporabljeni v proizvodnji, fizično ločeni. V primeru zamenljivih izdelkov mora ta metoda zagotoviti, da je količina izdelkov s poreklom enaka količini, ki bi jo dobili, če bi bile zaloge fizično ločene.  </w:t>
      </w:r>
    </w:p>
    <w:p w14:paraId="555BA2BF" w14:textId="77777777" w:rsidR="00D71B1F" w:rsidRDefault="00D71B1F" w:rsidP="00D71B1F">
      <w:pPr>
        <w:jc w:val="both"/>
        <w:rPr>
          <w:lang w:val="sl-SI"/>
        </w:rPr>
      </w:pPr>
    </w:p>
    <w:p w14:paraId="377F631D" w14:textId="77777777" w:rsidR="00D71B1F" w:rsidRDefault="00000000" w:rsidP="00D71B1F">
      <w:pPr>
        <w:jc w:val="both"/>
        <w:rPr>
          <w:lang w:val="sl-SI"/>
        </w:rPr>
      </w:pPr>
      <w:r>
        <w:rPr>
          <w:lang w:val="sl-SI"/>
        </w:rPr>
        <w:t>Vendar pa se m</w:t>
      </w:r>
      <w:r w:rsidRPr="00271B4B">
        <w:rPr>
          <w:lang w:val="sl-SI"/>
        </w:rPr>
        <w:t>etoda ločenega knjigovods</w:t>
      </w:r>
      <w:r>
        <w:rPr>
          <w:lang w:val="sl-SI"/>
        </w:rPr>
        <w:t xml:space="preserve">kega izkazovanja </w:t>
      </w:r>
      <w:r w:rsidRPr="00271B4B">
        <w:rPr>
          <w:lang w:val="sl-SI"/>
        </w:rPr>
        <w:t xml:space="preserve">lahko uporablja samo v </w:t>
      </w:r>
      <w:r>
        <w:rPr>
          <w:lang w:val="sl-SI"/>
        </w:rPr>
        <w:t xml:space="preserve">okviru </w:t>
      </w:r>
      <w:r w:rsidRPr="00271B4B">
        <w:rPr>
          <w:lang w:val="sl-SI"/>
        </w:rPr>
        <w:t xml:space="preserve">tistih preferencialnih </w:t>
      </w:r>
      <w:r>
        <w:rPr>
          <w:lang w:val="sl-SI"/>
        </w:rPr>
        <w:t>režimov</w:t>
      </w:r>
      <w:r w:rsidRPr="00271B4B">
        <w:rPr>
          <w:lang w:val="sl-SI"/>
        </w:rPr>
        <w:t xml:space="preserve">, ki </w:t>
      </w:r>
      <w:r>
        <w:rPr>
          <w:lang w:val="sl-SI"/>
        </w:rPr>
        <w:t>določajo</w:t>
      </w:r>
      <w:r w:rsidRPr="00271B4B">
        <w:rPr>
          <w:lang w:val="sl-SI"/>
        </w:rPr>
        <w:t xml:space="preserve"> takšno možnost. Poleg tega morajo biti skladiščeni materiali </w:t>
      </w:r>
      <w:r>
        <w:rPr>
          <w:lang w:val="sl-SI"/>
        </w:rPr>
        <w:t>/ izdelki s poreklom in skladiščeni materiali / izdelki brez porekla »</w:t>
      </w:r>
      <w:r w:rsidRPr="00271B4B">
        <w:rPr>
          <w:lang w:val="sl-SI"/>
        </w:rPr>
        <w:t>zamenljivi</w:t>
      </w:r>
      <w:r>
        <w:rPr>
          <w:lang w:val="sl-SI"/>
        </w:rPr>
        <w:t>«</w:t>
      </w:r>
      <w:r w:rsidRPr="00271B4B">
        <w:rPr>
          <w:lang w:val="sl-SI"/>
        </w:rPr>
        <w:t>,</w:t>
      </w:r>
      <w:r>
        <w:rPr>
          <w:lang w:val="sl-SI"/>
        </w:rPr>
        <w:t xml:space="preserve"> kar pomeni, da morajo biti enaki – biti morajo iste vrste in iste komercialne kakovosti ter imeti iste tehnične in fizične lastnosti. </w:t>
      </w:r>
      <w:r>
        <w:rPr>
          <w:lang w:val="sl-SI"/>
        </w:rPr>
        <w:lastRenderedPageBreak/>
        <w:t xml:space="preserve">Za materiale mora biti zagotovljeno tudi, da se ti materiali, potem ko so vključeni v končni izdelek, med seboj ne razlikujejo več glede na poreklo. Prav tako se tudi zamenljivi izdelki ne smejo med seboj razlikovati glede na poreklo. </w:t>
      </w:r>
    </w:p>
    <w:p w14:paraId="2D0A0E54" w14:textId="77777777" w:rsidR="00D71B1F" w:rsidRDefault="00D71B1F" w:rsidP="00D71B1F">
      <w:pPr>
        <w:jc w:val="both"/>
        <w:rPr>
          <w:lang w:val="sl-SI"/>
        </w:rPr>
      </w:pPr>
    </w:p>
    <w:p w14:paraId="75D4683B" w14:textId="77777777" w:rsidR="00D71B1F" w:rsidRDefault="00000000" w:rsidP="00D71B1F">
      <w:pPr>
        <w:jc w:val="both"/>
        <w:rPr>
          <w:lang w:val="sl-SI"/>
        </w:rPr>
      </w:pPr>
      <w:r>
        <w:rPr>
          <w:lang w:val="sl-SI"/>
        </w:rPr>
        <w:t xml:space="preserve">Za uporabo metode ločenega knjigovodskega izkazovanja se lahko zahteva dovoljenje carinskega organa, </w:t>
      </w:r>
      <w:r w:rsidRPr="00271B4B">
        <w:rPr>
          <w:lang w:val="sl-SI"/>
        </w:rPr>
        <w:t>odvisno od preferencialnega režima</w:t>
      </w:r>
      <w:r>
        <w:rPr>
          <w:lang w:val="sl-SI"/>
        </w:rPr>
        <w:t xml:space="preserve"> (npr. </w:t>
      </w:r>
      <w:r w:rsidRPr="00254092">
        <w:rPr>
          <w:lang w:val="sl-SI"/>
        </w:rPr>
        <w:t>Celoviti gospodarski in trgovinski sporazum (CETA) med Kanado</w:t>
      </w:r>
      <w:r>
        <w:rPr>
          <w:lang w:val="sl-SI"/>
        </w:rPr>
        <w:t xml:space="preserve"> in EU – člen 10(3) </w:t>
      </w:r>
      <w:r w:rsidRPr="004708AE">
        <w:rPr>
          <w:lang w:val="sl-SI"/>
        </w:rPr>
        <w:t>Protokol</w:t>
      </w:r>
      <w:r>
        <w:rPr>
          <w:lang w:val="sl-SI"/>
        </w:rPr>
        <w:t>a</w:t>
      </w:r>
      <w:r w:rsidRPr="004708AE">
        <w:rPr>
          <w:lang w:val="sl-SI"/>
        </w:rPr>
        <w:t xml:space="preserve"> o pravilih o poreklu in postopkih za pridobivanje porekla</w:t>
      </w:r>
      <w:r>
        <w:rPr>
          <w:lang w:val="sl-SI"/>
        </w:rPr>
        <w:t>: pogod</w:t>
      </w:r>
      <w:r w:rsidRPr="004708AE">
        <w:rPr>
          <w:lang w:val="sl-SI"/>
        </w:rPr>
        <w:t xml:space="preserve">benica lahko zahteva, da izvoznik ali proizvajalec na njenem ozemlju, ki </w:t>
      </w:r>
      <w:r>
        <w:rPr>
          <w:lang w:val="sl-SI"/>
        </w:rPr>
        <w:t>že</w:t>
      </w:r>
      <w:r w:rsidRPr="004708AE">
        <w:rPr>
          <w:lang w:val="sl-SI"/>
        </w:rPr>
        <w:t>li uporabljati sistem</w:t>
      </w:r>
      <w:r>
        <w:rPr>
          <w:lang w:val="sl-SI"/>
        </w:rPr>
        <w:t xml:space="preserve"> ločenega </w:t>
      </w:r>
      <w:r w:rsidRPr="004708AE">
        <w:rPr>
          <w:lang w:val="sl-SI"/>
        </w:rPr>
        <w:t>knjigovodsk</w:t>
      </w:r>
      <w:r>
        <w:rPr>
          <w:lang w:val="sl-SI"/>
        </w:rPr>
        <w:t>ega</w:t>
      </w:r>
      <w:r w:rsidRPr="004708AE">
        <w:rPr>
          <w:lang w:val="sl-SI"/>
        </w:rPr>
        <w:t xml:space="preserve"> izkazovanj</w:t>
      </w:r>
      <w:r>
        <w:rPr>
          <w:lang w:val="sl-SI"/>
        </w:rPr>
        <w:t>a</w:t>
      </w:r>
      <w:r w:rsidRPr="004708AE">
        <w:rPr>
          <w:lang w:val="sl-SI"/>
        </w:rPr>
        <w:t xml:space="preserve"> zamenljivih materialov ali izdelkov, od navedene pogodbenice pridobi predhodno dovoljenje za uporabo navedenega</w:t>
      </w:r>
      <w:r>
        <w:rPr>
          <w:lang w:val="sl-SI"/>
        </w:rPr>
        <w:t xml:space="preserve"> </w:t>
      </w:r>
      <w:r w:rsidRPr="004708AE">
        <w:rPr>
          <w:lang w:val="sl-SI"/>
        </w:rPr>
        <w:t>sistema</w:t>
      </w:r>
      <w:r>
        <w:rPr>
          <w:lang w:val="sl-SI"/>
        </w:rPr>
        <w:t>; prehodna PEM pravila – člen 12(3) Dodatka A: p</w:t>
      </w:r>
      <w:r w:rsidRPr="00254092">
        <w:rPr>
          <w:lang w:val="sl-SI"/>
        </w:rPr>
        <w:t xml:space="preserve">ogodbenice </w:t>
      </w:r>
      <w:r>
        <w:rPr>
          <w:lang w:val="sl-SI"/>
        </w:rPr>
        <w:t xml:space="preserve">uporabnice </w:t>
      </w:r>
      <w:r w:rsidRPr="00254092">
        <w:rPr>
          <w:lang w:val="sl-SI"/>
        </w:rPr>
        <w:t>lahko določijo, da je za uporabo ločenega knjigovodskega izkazovanja potrebno predhodno dovoljenje carinskih organov</w:t>
      </w:r>
      <w:r>
        <w:rPr>
          <w:lang w:val="sl-SI"/>
        </w:rPr>
        <w:t xml:space="preserve">, kar pomeni, da se takšno dovoljenje lahko zahteva). Poudariti je treba tudi, da nekateri preferencialni režimi ne vsebujejo določb o ločenem knjigovodskem izkazovanju, zato je priporočljivo sklicevanje na veljavno pravno podlago, da se preveri, </w:t>
      </w:r>
      <w:r w:rsidRPr="003972EF">
        <w:rPr>
          <w:lang w:val="sl-SI"/>
        </w:rPr>
        <w:t>ali je metoda ločenega knjigovods</w:t>
      </w:r>
      <w:r>
        <w:rPr>
          <w:lang w:val="sl-SI"/>
        </w:rPr>
        <w:t xml:space="preserve">kega izkazovanja </w:t>
      </w:r>
      <w:r w:rsidRPr="003972EF">
        <w:rPr>
          <w:lang w:val="sl-SI"/>
        </w:rPr>
        <w:t>dovoljena,</w:t>
      </w:r>
      <w:r>
        <w:rPr>
          <w:lang w:val="sl-SI"/>
        </w:rPr>
        <w:t xml:space="preserve"> ali ne,</w:t>
      </w:r>
      <w:r w:rsidRPr="003972EF">
        <w:rPr>
          <w:lang w:val="sl-SI"/>
        </w:rPr>
        <w:t xml:space="preserve"> in če je, pod kakšnimi pogoji</w:t>
      </w:r>
      <w:r>
        <w:rPr>
          <w:lang w:val="sl-SI"/>
        </w:rPr>
        <w:t xml:space="preserve"> (glej seznam v prilogi 2 smernic v zvezi s pravili o poreklu – preferencialna trgovina, str. 113 do 117; smernice so objavljene na </w:t>
      </w:r>
      <w:hyperlink r:id="rId8" w:history="1">
        <w:r w:rsidRPr="000C0C23">
          <w:rPr>
            <w:rStyle w:val="Hiperpovezava"/>
            <w:lang w:val="sl-SI"/>
          </w:rPr>
          <w:t>spletni strani Evropske komisije</w:t>
        </w:r>
      </w:hyperlink>
      <w:r>
        <w:rPr>
          <w:lang w:val="sl-SI"/>
        </w:rPr>
        <w:t xml:space="preserve">). </w:t>
      </w:r>
      <w:r w:rsidRPr="003972EF">
        <w:rPr>
          <w:lang w:val="sl-SI"/>
        </w:rPr>
        <w:t>V primerih, ko dovoljenje za uporabo metode ločenega knjigovods</w:t>
      </w:r>
      <w:r>
        <w:rPr>
          <w:lang w:val="sl-SI"/>
        </w:rPr>
        <w:t>kega izkazovanja</w:t>
      </w:r>
      <w:r w:rsidRPr="003972EF">
        <w:rPr>
          <w:lang w:val="sl-SI"/>
        </w:rPr>
        <w:t xml:space="preserve"> ni potrebno, </w:t>
      </w:r>
      <w:r>
        <w:rPr>
          <w:lang w:val="sl-SI"/>
        </w:rPr>
        <w:t xml:space="preserve">Evropska komisija </w:t>
      </w:r>
      <w:r w:rsidRPr="003972EF">
        <w:rPr>
          <w:lang w:val="sl-SI"/>
        </w:rPr>
        <w:t>kljub temu priporoč</w:t>
      </w:r>
      <w:r>
        <w:rPr>
          <w:lang w:val="sl-SI"/>
        </w:rPr>
        <w:t>a</w:t>
      </w:r>
      <w:r w:rsidRPr="003972EF">
        <w:rPr>
          <w:lang w:val="sl-SI"/>
        </w:rPr>
        <w:t xml:space="preserve">, da </w:t>
      </w:r>
      <w:r>
        <w:rPr>
          <w:lang w:val="sl-SI"/>
        </w:rPr>
        <w:t xml:space="preserve">se gospodarski subjekti </w:t>
      </w:r>
      <w:r w:rsidRPr="003972EF">
        <w:rPr>
          <w:lang w:val="sl-SI"/>
        </w:rPr>
        <w:t xml:space="preserve">pred </w:t>
      </w:r>
      <w:r>
        <w:rPr>
          <w:lang w:val="sl-SI"/>
        </w:rPr>
        <w:t xml:space="preserve">začetkom </w:t>
      </w:r>
      <w:r w:rsidRPr="003972EF">
        <w:rPr>
          <w:lang w:val="sl-SI"/>
        </w:rPr>
        <w:t>uporab</w:t>
      </w:r>
      <w:r>
        <w:rPr>
          <w:lang w:val="sl-SI"/>
        </w:rPr>
        <w:t>e</w:t>
      </w:r>
      <w:r w:rsidRPr="003972EF">
        <w:rPr>
          <w:lang w:val="sl-SI"/>
        </w:rPr>
        <w:t xml:space="preserve"> te metode</w:t>
      </w:r>
      <w:r>
        <w:rPr>
          <w:lang w:val="sl-SI"/>
        </w:rPr>
        <w:t xml:space="preserve"> obrnejo na carinske organe in jih zaprosijo za pomoč. </w:t>
      </w:r>
    </w:p>
    <w:p w14:paraId="70AF96B7" w14:textId="77777777" w:rsidR="00D71B1F" w:rsidRDefault="00D71B1F" w:rsidP="00D71B1F">
      <w:pPr>
        <w:jc w:val="both"/>
        <w:rPr>
          <w:lang w:val="sl-SI"/>
        </w:rPr>
      </w:pPr>
    </w:p>
    <w:p w14:paraId="1B35F147" w14:textId="77777777" w:rsidR="00D71B1F" w:rsidRDefault="00000000" w:rsidP="00D71B1F">
      <w:pPr>
        <w:jc w:val="both"/>
        <w:rPr>
          <w:lang w:val="sl-SI"/>
        </w:rPr>
      </w:pPr>
      <w:r>
        <w:rPr>
          <w:lang w:val="sl-SI"/>
        </w:rPr>
        <w:t xml:space="preserve">Za pravilno uporabo metode ločenega knjigovodskega izkazovanja je namreč potreben </w:t>
      </w:r>
      <w:r w:rsidRPr="003972EF">
        <w:rPr>
          <w:lang w:val="sl-SI"/>
        </w:rPr>
        <w:t>ustrezen sistem upravljanja zalog</w:t>
      </w:r>
      <w:r>
        <w:rPr>
          <w:lang w:val="sl-SI"/>
        </w:rPr>
        <w:t xml:space="preserve"> (ustrezen knjigovodski sistem)</w:t>
      </w:r>
      <w:r w:rsidRPr="003972EF">
        <w:rPr>
          <w:lang w:val="sl-SI"/>
        </w:rPr>
        <w:t>, v primeru naknadnega preverjanja pa je treba</w:t>
      </w:r>
      <w:r>
        <w:rPr>
          <w:lang w:val="sl-SI"/>
        </w:rPr>
        <w:t xml:space="preserve"> carinskim organom predložiti vse potrebne dokazilne listine, ki se uporabljajo za dokazovanje, da se izdelki, za katere je bilo izdano / sestavljeno dokazilo o poreklu, lahko štejejo za izdelke s poreklom in da izpolnjujejo vse druge zahteve v zvezi s pravili o poreklu. </w:t>
      </w:r>
      <w:r w:rsidRPr="00C6063F">
        <w:rPr>
          <w:lang w:val="sl-SI"/>
        </w:rPr>
        <w:t xml:space="preserve">Zagotavljanje informacij s strani carinskih organov </w:t>
      </w:r>
      <w:r>
        <w:rPr>
          <w:lang w:val="sl-SI"/>
        </w:rPr>
        <w:t xml:space="preserve">o izvajanju carinske zakonodaje </w:t>
      </w:r>
      <w:r w:rsidRPr="00C6063F">
        <w:rPr>
          <w:lang w:val="sl-SI"/>
        </w:rPr>
        <w:t>vsaki osebi, ki</w:t>
      </w:r>
      <w:r>
        <w:rPr>
          <w:lang w:val="sl-SI"/>
        </w:rPr>
        <w:t xml:space="preserve"> te informacije</w:t>
      </w:r>
      <w:r w:rsidRPr="00C6063F">
        <w:rPr>
          <w:lang w:val="sl-SI"/>
        </w:rPr>
        <w:t xml:space="preserve"> zahteva, ureja člen 14 carinskega zakonika Unije</w:t>
      </w:r>
      <w:r>
        <w:rPr>
          <w:lang w:val="sl-SI"/>
        </w:rPr>
        <w:t xml:space="preserve">. Če preferencialni režim ne vsebuje določb o ločenem knjigovodskem izkazovanju, se materiali s poreklom in brez porekla, skladiščeni skupaj na istem mestu, ne da bi bili fizično ločeni, štejejo za materiale brez porekla, če so ti materiali vključeni v končne izdelke, ti končni izdelki pa se izvozijo iz EU v eno izmed držav / skupin držav, s katero(-imi) ima EU v veljavi preferencialni režim, ta preferencialni režim pa ne vsebuje določb o ločenem knjigovodskem izkazovanju (npr. Sporazum o pridružitvi med EU in Srednjo Ameriko). Enako velja za izdelke v primeru, ko preferencialni režim sicer vsebuje določbe o ločenem knjigovodskem izkazovanju, vendar pa dovoljuje metodo ločenega knjigovodskega izkazovanja samo za nekatere izdelke: če preferencialni režim ne dovoljuje ločenega knjigovodskega izkazovanja za določen izdelek, se izdelki s poreklom in brez porekla, skladiščeni skupaj na istem mestu, ne da bi bili fizično ločeni, štejejo za izdelke brez porekla, če se ti izdelki izvozijo iz EU v eno izmed držav / skupin držav, s katero(-imi) ima EU v veljavi preferencialni režim, ki ne dovoljuje uporabo metode ločenega izkazovanja za te izdelke. </w:t>
      </w:r>
    </w:p>
    <w:p w14:paraId="305284E7" w14:textId="77777777" w:rsidR="00D71B1F" w:rsidRDefault="00D71B1F" w:rsidP="00D71B1F">
      <w:pPr>
        <w:jc w:val="both"/>
        <w:rPr>
          <w:b/>
          <w:bCs/>
          <w:lang w:val="sl-SI"/>
        </w:rPr>
      </w:pPr>
    </w:p>
    <w:p w14:paraId="68C1690F" w14:textId="77777777" w:rsidR="00D71B1F" w:rsidRPr="00CF1688" w:rsidRDefault="00000000" w:rsidP="00D71B1F">
      <w:pPr>
        <w:jc w:val="both"/>
        <w:rPr>
          <w:b/>
          <w:bCs/>
          <w:lang w:val="sl-SI"/>
        </w:rPr>
      </w:pPr>
      <w:r>
        <w:rPr>
          <w:b/>
          <w:bCs/>
          <w:lang w:val="sl-SI"/>
        </w:rPr>
        <w:t>Regionalna konvencija</w:t>
      </w:r>
      <w:r w:rsidRPr="00CF1688">
        <w:rPr>
          <w:b/>
          <w:bCs/>
          <w:lang w:val="sl-SI"/>
        </w:rPr>
        <w:t xml:space="preserve"> in metoda ločenega knjigovodskega izkazovanja</w:t>
      </w:r>
    </w:p>
    <w:p w14:paraId="5EE847CD" w14:textId="77777777" w:rsidR="00D71B1F" w:rsidRDefault="00D71B1F" w:rsidP="00D71B1F">
      <w:pPr>
        <w:jc w:val="both"/>
        <w:rPr>
          <w:lang w:val="sl-SI"/>
        </w:rPr>
      </w:pPr>
    </w:p>
    <w:p w14:paraId="10177E22" w14:textId="77777777" w:rsidR="00D71B1F" w:rsidRDefault="00000000" w:rsidP="00D71B1F">
      <w:pPr>
        <w:jc w:val="both"/>
        <w:rPr>
          <w:lang w:val="sl-SI"/>
        </w:rPr>
      </w:pPr>
      <w:r w:rsidRPr="00F65EF1">
        <w:rPr>
          <w:lang w:val="sl-SI"/>
        </w:rPr>
        <w:t xml:space="preserve">V trgovini med EU </w:t>
      </w:r>
      <w:r>
        <w:rPr>
          <w:lang w:val="sl-SI"/>
        </w:rPr>
        <w:t>in vsemi državami zahodnega Balkana (Albanija, Bosna</w:t>
      </w:r>
      <w:r w:rsidRPr="00F65EF1">
        <w:rPr>
          <w:lang w:val="sl-SI"/>
        </w:rPr>
        <w:t xml:space="preserve"> in Hercegovin</w:t>
      </w:r>
      <w:r>
        <w:rPr>
          <w:lang w:val="sl-SI"/>
        </w:rPr>
        <w:t>a, Kosovo, Črna gora, Severna Makedonija in Srbija), med EU in državami EFTE (Islandija,</w:t>
      </w:r>
      <w:r w:rsidRPr="00342CF8">
        <w:rPr>
          <w:lang w:val="sl-SI"/>
        </w:rPr>
        <w:t xml:space="preserve"> Švica (vključno z Lihtenštajnom)</w:t>
      </w:r>
      <w:r>
        <w:rPr>
          <w:lang w:val="sl-SI"/>
        </w:rPr>
        <w:t xml:space="preserve">, Norveška) ter med EU in Ferskimi otoki, Egiptom, </w:t>
      </w:r>
      <w:r w:rsidRPr="00F77DAC">
        <w:rPr>
          <w:lang w:val="sl-SI"/>
        </w:rPr>
        <w:t>Zahodni</w:t>
      </w:r>
      <w:r>
        <w:rPr>
          <w:lang w:val="sl-SI"/>
        </w:rPr>
        <w:t>m</w:t>
      </w:r>
      <w:r w:rsidRPr="00F77DAC">
        <w:rPr>
          <w:lang w:val="sl-SI"/>
        </w:rPr>
        <w:t xml:space="preserve"> breg</w:t>
      </w:r>
      <w:r>
        <w:rPr>
          <w:lang w:val="sl-SI"/>
        </w:rPr>
        <w:t>om</w:t>
      </w:r>
      <w:r w:rsidRPr="00F77DAC">
        <w:rPr>
          <w:lang w:val="sl-SI"/>
        </w:rPr>
        <w:t xml:space="preserve"> in Gaz</w:t>
      </w:r>
      <w:r>
        <w:rPr>
          <w:lang w:val="sl-SI"/>
        </w:rPr>
        <w:t xml:space="preserve">o, Moldavijo, Gruzijo, Ukrajino, </w:t>
      </w:r>
      <w:r w:rsidRPr="00F65EF1">
        <w:rPr>
          <w:lang w:val="sl-SI"/>
        </w:rPr>
        <w:t xml:space="preserve"> se uporabljajo pravila o poreklu iz Dodatka I in ustreznih določb Dodatka II k Regionalni konvenciji o pan-evro-mediteranskih preferencialnih pravilih o poreklu (v nadaljnjem besedilu: Regionalna konvencija; </w:t>
      </w:r>
      <w:hyperlink r:id="rId9" w:anchor="L_2013054SL.01000401" w:history="1">
        <w:r w:rsidRPr="00F65EF1">
          <w:rPr>
            <w:rStyle w:val="Hiperpovezava"/>
            <w:lang w:val="sl-SI"/>
          </w:rPr>
          <w:t>Uradni list EU L 54</w:t>
        </w:r>
      </w:hyperlink>
      <w:r w:rsidRPr="00F65EF1">
        <w:rPr>
          <w:lang w:val="sl-SI"/>
        </w:rPr>
        <w:t>,  z dne 26. 2. 2013), saj so bila pravila o poreklu iz sporazum</w:t>
      </w:r>
      <w:r>
        <w:rPr>
          <w:lang w:val="sl-SI"/>
        </w:rPr>
        <w:t>ov</w:t>
      </w:r>
      <w:r w:rsidRPr="00F65EF1">
        <w:rPr>
          <w:lang w:val="sl-SI"/>
        </w:rPr>
        <w:t xml:space="preserve"> med EU </w:t>
      </w:r>
      <w:r>
        <w:rPr>
          <w:lang w:val="sl-SI"/>
        </w:rPr>
        <w:t xml:space="preserve">in navedenimi državami </w:t>
      </w:r>
      <w:r w:rsidRPr="00F65EF1">
        <w:rPr>
          <w:lang w:val="sl-SI"/>
        </w:rPr>
        <w:t xml:space="preserve">nadomeščena s pravili o poreklu iz Regionalne konvencije. </w:t>
      </w:r>
      <w:r>
        <w:rPr>
          <w:lang w:val="sl-SI"/>
        </w:rPr>
        <w:t xml:space="preserve">Regionalna konvencija uporabo metode ločenega knjigovodskega izkazovanja omejuje zgolj na zamenljive materiale (ne pa tudi na nekatere izdelke). Navedeno pomeni, da morajo biti zamenljivi materiali s poreklom in brez porekla, ki so v EU skladiščeni, brez da bi bili fizično ločeni in za katere se v EU uporabi metoda ločenega knjigovodskega izkazovanja, pred izvozom v eno izmed </w:t>
      </w:r>
      <w:r>
        <w:rPr>
          <w:lang w:val="sl-SI"/>
        </w:rPr>
        <w:lastRenderedPageBreak/>
        <w:t xml:space="preserve">pogodbenic Regionalne konvencije uporabljeni pri izdelavi končnih izdelkov, da se lahko štejejo kot materiali s poreklom za namene izvoza v eno izmed pogodbenic Regionalne konvencije, s katero je možna kumulacija, v nasprotnem primeru (ko gre za izvoz v pogodbenico, s katero ni možna kumulacija) se štejejo kot materiali brez porekla. Pri kumulaciji je treba upoštevati vse pogodbenice, vpletene v trgovino: EU, pogodbenico porekla pri izdelavi končnih izdelkov uporabljenih materialov, skladiščenih v EU brez fizičnega ločevanja ter pogodbenico, v katero se ti končni izdelki izvažajo (opomba: v zvezi s kumulacijo porekla blaga je treba upoštevati zadnje obvestilo </w:t>
      </w:r>
      <w:r w:rsidRPr="009870F8">
        <w:rPr>
          <w:lang w:val="sl-SI"/>
        </w:rPr>
        <w:t>Komisije v zvezi z uporabo Regionalne konvencije o pan-evro-mediteranskih preferencialnih pravilih o poreklu ali protokolov o pravilih o poreklu, ki določajo diagonalno kumulacijo med pogodbenicami k tej konvenciji</w:t>
      </w:r>
      <w:r>
        <w:rPr>
          <w:lang w:val="sl-SI"/>
        </w:rPr>
        <w:t xml:space="preserve">: </w:t>
      </w:r>
      <w:hyperlink r:id="rId10" w:history="1">
        <w:r w:rsidRPr="0096792B">
          <w:rPr>
            <w:rStyle w:val="Hiperpovezava"/>
            <w:lang w:val="sl-SI"/>
          </w:rPr>
          <w:t>Uradn</w:t>
        </w:r>
        <w:r>
          <w:rPr>
            <w:rStyle w:val="Hiperpovezava"/>
            <w:lang w:val="sl-SI"/>
          </w:rPr>
          <w:t>i</w:t>
        </w:r>
        <w:r w:rsidRPr="0096792B">
          <w:rPr>
            <w:rStyle w:val="Hiperpovezava"/>
            <w:lang w:val="sl-SI"/>
          </w:rPr>
          <w:t xml:space="preserve"> list EU C 418</w:t>
        </w:r>
      </w:hyperlink>
      <w:r>
        <w:rPr>
          <w:lang w:val="sl-SI"/>
        </w:rPr>
        <w:t xml:space="preserve">, z dne 15. 10. 2021). </w:t>
      </w:r>
    </w:p>
    <w:p w14:paraId="704E9F16" w14:textId="77777777" w:rsidR="00D71B1F" w:rsidRDefault="00D71B1F" w:rsidP="00D71B1F">
      <w:pPr>
        <w:jc w:val="both"/>
        <w:rPr>
          <w:lang w:val="sl-SI"/>
        </w:rPr>
      </w:pPr>
    </w:p>
    <w:p w14:paraId="133A0CCD" w14:textId="77777777" w:rsidR="00D71B1F" w:rsidRDefault="00000000" w:rsidP="00D71B1F">
      <w:pPr>
        <w:jc w:val="both"/>
        <w:rPr>
          <w:lang w:val="sl-SI"/>
        </w:rPr>
      </w:pPr>
      <w:r>
        <w:rPr>
          <w:lang w:val="sl-SI"/>
        </w:rPr>
        <w:t>V konkretnem primeru belega sladkorja iz tarifne oznake KN 1701 99 10, ki je v EU skladiščen, ne da bi bil ta sladkor fizično ločen glede na sladkor z in brez porekla in se v EU uporabi metoda ločenega knjigovodskega izkazovanja, navedeno pomeni, da se ta sladkor lahko šteje za material s poreklom samo, če se uporabi kot material pri izdelavi izdelkov, ki se izvozijo v eno izmed pogodbenic Regionalne konvencije, s katerimi je možna kumulacija. Če se v EU skladišči skupaj brez, da bi bil fizično ločen sladkor s preferencialnim EU poreklom, sladkor brez porekla in sladkor s srbskim preferencialnim poreklom, je treba upoštevati, da se sladkor s preferencialnim srbskim poreklom šteje kot sladkor brez porekla, če so v EU iz tega sladkorja izdelani izdelki, ti izdelki pa se izvažajo npr. v Egipt, saj ni možna kumulacija med Srbijo, EU in Egiptom, kar je treba ustrezno zavesti v knjigovodski sistem (uporabljen je bil sladkor brez porekla). Dodatno mora na dan določitve porekla izdelka gospodarski subjekt hraniti zadostne količine materialov s poreklom, ki se odražajo v evidencah zalog (evidentiranih na podlagi splošnih računovodskih načel) za izdelavo tega izdelka s poreklom.</w:t>
      </w:r>
    </w:p>
    <w:p w14:paraId="3509C70D" w14:textId="77777777" w:rsidR="00D71B1F" w:rsidRDefault="00D71B1F" w:rsidP="00D71B1F">
      <w:pPr>
        <w:jc w:val="both"/>
        <w:rPr>
          <w:lang w:val="sl-SI"/>
        </w:rPr>
      </w:pPr>
    </w:p>
    <w:p w14:paraId="53260880" w14:textId="77777777" w:rsidR="00D71B1F" w:rsidRPr="00CF1688" w:rsidRDefault="00000000" w:rsidP="00D71B1F">
      <w:pPr>
        <w:jc w:val="both"/>
        <w:rPr>
          <w:b/>
          <w:bCs/>
          <w:lang w:val="sl-SI"/>
        </w:rPr>
      </w:pPr>
      <w:r w:rsidRPr="00CF1688">
        <w:rPr>
          <w:b/>
          <w:bCs/>
          <w:lang w:val="sl-SI"/>
        </w:rPr>
        <w:t>Prehodna PEM pravila in metoda ločenega knjigovodskega izkazovanja</w:t>
      </w:r>
    </w:p>
    <w:p w14:paraId="7520FAFA" w14:textId="77777777" w:rsidR="00D71B1F" w:rsidRDefault="00D71B1F" w:rsidP="00D71B1F">
      <w:pPr>
        <w:jc w:val="both"/>
        <w:rPr>
          <w:lang w:val="sl-SI"/>
        </w:rPr>
      </w:pPr>
    </w:p>
    <w:p w14:paraId="0D4938EB" w14:textId="77777777" w:rsidR="00D71B1F" w:rsidRDefault="00000000" w:rsidP="00D71B1F">
      <w:pPr>
        <w:pStyle w:val="ZADEVA"/>
        <w:tabs>
          <w:tab w:val="clear" w:pos="1701"/>
          <w:tab w:val="left" w:pos="0"/>
        </w:tabs>
        <w:ind w:left="0" w:firstLine="0"/>
        <w:jc w:val="both"/>
        <w:rPr>
          <w:b w:val="0"/>
          <w:bCs/>
          <w:lang w:val="sl-SI"/>
        </w:rPr>
      </w:pPr>
      <w:r>
        <w:rPr>
          <w:b w:val="0"/>
          <w:bCs/>
          <w:lang w:val="sl-SI"/>
        </w:rPr>
        <w:t xml:space="preserve">Ob klasičnih PEM pravilih o poreklu iz Regionalne konvencije se uporabljajo tudi prehodna PEM pravila. V začetni fazi, to je 1. 9. 2021, so se prehodna pravila začela uporabljati med EU in </w:t>
      </w:r>
      <w:r w:rsidRPr="00EC4BB6">
        <w:rPr>
          <w:b w:val="0"/>
          <w:bCs/>
          <w:lang w:val="sl-SI"/>
        </w:rPr>
        <w:t>vsako od naslednjih pogodbenic: Albanij</w:t>
      </w:r>
      <w:r>
        <w:rPr>
          <w:b w:val="0"/>
          <w:bCs/>
          <w:lang w:val="sl-SI"/>
        </w:rPr>
        <w:t>o</w:t>
      </w:r>
      <w:r w:rsidRPr="00EC4BB6">
        <w:rPr>
          <w:b w:val="0"/>
          <w:bCs/>
          <w:lang w:val="sl-SI"/>
        </w:rPr>
        <w:t>, Ferski</w:t>
      </w:r>
      <w:r>
        <w:rPr>
          <w:b w:val="0"/>
          <w:bCs/>
          <w:lang w:val="sl-SI"/>
        </w:rPr>
        <w:t>mi</w:t>
      </w:r>
      <w:r w:rsidRPr="00EC4BB6">
        <w:rPr>
          <w:b w:val="0"/>
          <w:bCs/>
          <w:lang w:val="sl-SI"/>
        </w:rPr>
        <w:t xml:space="preserve"> otoki, Gruzij</w:t>
      </w:r>
      <w:r>
        <w:rPr>
          <w:b w:val="0"/>
          <w:bCs/>
          <w:lang w:val="sl-SI"/>
        </w:rPr>
        <w:t>o</w:t>
      </w:r>
      <w:r w:rsidRPr="00EC4BB6">
        <w:rPr>
          <w:b w:val="0"/>
          <w:bCs/>
          <w:lang w:val="sl-SI"/>
        </w:rPr>
        <w:t>, Islandij</w:t>
      </w:r>
      <w:r>
        <w:rPr>
          <w:b w:val="0"/>
          <w:bCs/>
          <w:lang w:val="sl-SI"/>
        </w:rPr>
        <w:t>o</w:t>
      </w:r>
      <w:r w:rsidRPr="00EC4BB6">
        <w:rPr>
          <w:b w:val="0"/>
          <w:bCs/>
          <w:lang w:val="sl-SI"/>
        </w:rPr>
        <w:t>, Jordanij</w:t>
      </w:r>
      <w:r>
        <w:rPr>
          <w:b w:val="0"/>
          <w:bCs/>
          <w:lang w:val="sl-SI"/>
        </w:rPr>
        <w:t>o</w:t>
      </w:r>
      <w:r w:rsidRPr="00EC4BB6">
        <w:rPr>
          <w:b w:val="0"/>
          <w:bCs/>
          <w:lang w:val="sl-SI"/>
        </w:rPr>
        <w:t>, Palestin</w:t>
      </w:r>
      <w:r>
        <w:rPr>
          <w:b w:val="0"/>
          <w:bCs/>
          <w:lang w:val="sl-SI"/>
        </w:rPr>
        <w:t>o</w:t>
      </w:r>
      <w:r w:rsidRPr="00EC4BB6">
        <w:rPr>
          <w:b w:val="0"/>
          <w:bCs/>
          <w:lang w:val="sl-SI"/>
        </w:rPr>
        <w:t>, Norvešk</w:t>
      </w:r>
      <w:r>
        <w:rPr>
          <w:b w:val="0"/>
          <w:bCs/>
          <w:lang w:val="sl-SI"/>
        </w:rPr>
        <w:t>o</w:t>
      </w:r>
      <w:r w:rsidRPr="00EC4BB6">
        <w:rPr>
          <w:b w:val="0"/>
          <w:bCs/>
          <w:lang w:val="sl-SI"/>
        </w:rPr>
        <w:t xml:space="preserve"> in Švic</w:t>
      </w:r>
      <w:r>
        <w:rPr>
          <w:b w:val="0"/>
          <w:bCs/>
          <w:lang w:val="sl-SI"/>
        </w:rPr>
        <w:t>o</w:t>
      </w:r>
      <w:r w:rsidRPr="00EC4BB6">
        <w:rPr>
          <w:b w:val="0"/>
          <w:bCs/>
          <w:lang w:val="sl-SI"/>
        </w:rPr>
        <w:t>.</w:t>
      </w:r>
      <w:r>
        <w:rPr>
          <w:b w:val="0"/>
          <w:bCs/>
          <w:lang w:val="sl-SI"/>
        </w:rPr>
        <w:t xml:space="preserve"> </w:t>
      </w:r>
      <w:r w:rsidRPr="00EC4BB6">
        <w:rPr>
          <w:b w:val="0"/>
          <w:bCs/>
          <w:lang w:val="sl-SI"/>
        </w:rPr>
        <w:t xml:space="preserve">V Evropskem gospodarskem prostoru (EGP) so bila </w:t>
      </w:r>
      <w:r>
        <w:rPr>
          <w:b w:val="0"/>
          <w:bCs/>
          <w:lang w:val="sl-SI"/>
        </w:rPr>
        <w:t>prehodna</w:t>
      </w:r>
      <w:r w:rsidRPr="00EC4BB6">
        <w:rPr>
          <w:b w:val="0"/>
          <w:bCs/>
          <w:lang w:val="sl-SI"/>
        </w:rPr>
        <w:t xml:space="preserve"> pravila uvedena z retroaktivn</w:t>
      </w:r>
      <w:r>
        <w:rPr>
          <w:b w:val="0"/>
          <w:bCs/>
          <w:lang w:val="sl-SI"/>
        </w:rPr>
        <w:t xml:space="preserve">im učinkom </w:t>
      </w:r>
      <w:r w:rsidRPr="00EC4BB6">
        <w:rPr>
          <w:b w:val="0"/>
          <w:bCs/>
          <w:lang w:val="sl-SI"/>
        </w:rPr>
        <w:t>(uporabljajo se od 1. septembra 2021). Od 9. septembra 2021 dalje se prehodna pravila o poreklu uporabljajo med EU in Severno Makedonijo</w:t>
      </w:r>
      <w:r>
        <w:rPr>
          <w:b w:val="0"/>
          <w:bCs/>
          <w:lang w:val="sl-SI"/>
        </w:rPr>
        <w:t>, o</w:t>
      </w:r>
      <w:r w:rsidRPr="00EC4BB6">
        <w:rPr>
          <w:b w:val="0"/>
          <w:bCs/>
          <w:lang w:val="sl-SI"/>
        </w:rPr>
        <w:t>d 16. novembra 2021 dalje med EU in Moldavijo</w:t>
      </w:r>
      <w:r>
        <w:rPr>
          <w:b w:val="0"/>
          <w:bCs/>
          <w:lang w:val="sl-SI"/>
        </w:rPr>
        <w:t>, o</w:t>
      </w:r>
      <w:r w:rsidRPr="00EC4BB6">
        <w:rPr>
          <w:b w:val="0"/>
          <w:bCs/>
          <w:lang w:val="sl-SI"/>
        </w:rPr>
        <w:t>d 6. decembra 2021 dalje med EU in Srbijo</w:t>
      </w:r>
      <w:r>
        <w:rPr>
          <w:b w:val="0"/>
          <w:bCs/>
          <w:lang w:val="sl-SI"/>
        </w:rPr>
        <w:t>, o</w:t>
      </w:r>
      <w:r w:rsidRPr="00EC4BB6">
        <w:rPr>
          <w:b w:val="0"/>
          <w:bCs/>
          <w:lang w:val="sl-SI"/>
        </w:rPr>
        <w:t>d 2. februarja 2022</w:t>
      </w:r>
      <w:r>
        <w:rPr>
          <w:b w:val="0"/>
          <w:bCs/>
          <w:lang w:val="sl-SI"/>
        </w:rPr>
        <w:t xml:space="preserve"> dalje</w:t>
      </w:r>
      <w:r w:rsidRPr="00EC4BB6">
        <w:rPr>
          <w:b w:val="0"/>
          <w:bCs/>
          <w:lang w:val="sl-SI"/>
        </w:rPr>
        <w:t xml:space="preserve"> med EU in Črno goro</w:t>
      </w:r>
      <w:r>
        <w:rPr>
          <w:b w:val="0"/>
          <w:bCs/>
          <w:lang w:val="sl-SI"/>
        </w:rPr>
        <w:t xml:space="preserve"> ter od 15. oktobra 2022 dalje med EU in Kosovom. Med</w:t>
      </w:r>
      <w:r w:rsidRPr="00C8217D">
        <w:rPr>
          <w:b w:val="0"/>
          <w:bCs/>
          <w:lang w:val="sl-SI"/>
        </w:rPr>
        <w:t xml:space="preserve"> EU in </w:t>
      </w:r>
      <w:r>
        <w:rPr>
          <w:b w:val="0"/>
          <w:bCs/>
          <w:lang w:val="sl-SI"/>
        </w:rPr>
        <w:t xml:space="preserve">vsemi </w:t>
      </w:r>
      <w:r w:rsidRPr="00C8217D">
        <w:rPr>
          <w:b w:val="0"/>
          <w:bCs/>
          <w:lang w:val="sl-SI"/>
        </w:rPr>
        <w:t>preostalimi pogodbenicami (Bosna in Hercegovina, Egipt, Izrael, Libanon, Turčija in Ukrajina) je postopek sprejetja sprememb bilateralnih protokolov o pravilih o poreklu v teku in v različnih fazah napredka.</w:t>
      </w:r>
      <w:r>
        <w:rPr>
          <w:b w:val="0"/>
          <w:bCs/>
          <w:lang w:val="sl-SI"/>
        </w:rPr>
        <w:t xml:space="preserve"> Informacije o v</w:t>
      </w:r>
      <w:r w:rsidRPr="00602F1B">
        <w:rPr>
          <w:b w:val="0"/>
          <w:bCs/>
          <w:lang w:val="sl-SI"/>
        </w:rPr>
        <w:t>zporedn</w:t>
      </w:r>
      <w:r>
        <w:rPr>
          <w:b w:val="0"/>
          <w:bCs/>
          <w:lang w:val="sl-SI"/>
        </w:rPr>
        <w:t>i</w:t>
      </w:r>
      <w:r w:rsidRPr="00602F1B">
        <w:rPr>
          <w:b w:val="0"/>
          <w:bCs/>
          <w:lang w:val="sl-SI"/>
        </w:rPr>
        <w:t xml:space="preserve"> uporab</w:t>
      </w:r>
      <w:r>
        <w:rPr>
          <w:b w:val="0"/>
          <w:bCs/>
          <w:lang w:val="sl-SI"/>
        </w:rPr>
        <w:t>i</w:t>
      </w:r>
      <w:r w:rsidRPr="00602F1B">
        <w:rPr>
          <w:b w:val="0"/>
          <w:bCs/>
          <w:lang w:val="sl-SI"/>
        </w:rPr>
        <w:t xml:space="preserve"> dveh sklopov pravil o poreklu v pan-evro-mediteranskem območju</w:t>
      </w:r>
      <w:r>
        <w:rPr>
          <w:b w:val="0"/>
          <w:bCs/>
          <w:lang w:val="sl-SI"/>
        </w:rPr>
        <w:t xml:space="preserve"> so na voljo na </w:t>
      </w:r>
      <w:hyperlink r:id="rId11" w:history="1">
        <w:r w:rsidRPr="00602F1B">
          <w:rPr>
            <w:rStyle w:val="Hiperpovezava"/>
            <w:b w:val="0"/>
            <w:bCs/>
            <w:lang w:val="sl-SI"/>
          </w:rPr>
          <w:t>spletni strani</w:t>
        </w:r>
      </w:hyperlink>
      <w:r>
        <w:rPr>
          <w:b w:val="0"/>
          <w:bCs/>
          <w:lang w:val="sl-SI"/>
        </w:rPr>
        <w:t xml:space="preserve"> Evropske komisije.</w:t>
      </w:r>
      <w:r w:rsidRPr="00C8217D">
        <w:rPr>
          <w:b w:val="0"/>
          <w:bCs/>
          <w:lang w:val="sl-SI"/>
        </w:rPr>
        <w:t xml:space="preserve"> </w:t>
      </w:r>
    </w:p>
    <w:p w14:paraId="4D1938A8" w14:textId="77777777" w:rsidR="00D71B1F" w:rsidRDefault="00D71B1F" w:rsidP="00D71B1F">
      <w:pPr>
        <w:pStyle w:val="ZADEVA"/>
        <w:tabs>
          <w:tab w:val="clear" w:pos="1701"/>
          <w:tab w:val="left" w:pos="0"/>
        </w:tabs>
        <w:ind w:left="0" w:firstLine="0"/>
        <w:jc w:val="both"/>
        <w:rPr>
          <w:b w:val="0"/>
          <w:bCs/>
          <w:lang w:val="sl-SI"/>
        </w:rPr>
      </w:pPr>
    </w:p>
    <w:p w14:paraId="5B9F6217" w14:textId="77777777" w:rsidR="00D71B1F" w:rsidRDefault="00000000" w:rsidP="00D71B1F">
      <w:pPr>
        <w:pStyle w:val="ZADEVA"/>
        <w:tabs>
          <w:tab w:val="clear" w:pos="1701"/>
          <w:tab w:val="left" w:pos="0"/>
        </w:tabs>
        <w:ind w:left="0" w:firstLine="0"/>
        <w:jc w:val="both"/>
        <w:rPr>
          <w:b w:val="0"/>
          <w:bCs/>
          <w:lang w:val="sl-SI"/>
        </w:rPr>
      </w:pPr>
      <w:r>
        <w:rPr>
          <w:b w:val="0"/>
          <w:bCs/>
          <w:lang w:val="sl-SI"/>
        </w:rPr>
        <w:t>Prehodna pravila omogočajo uporabo metode ločenega knjigovodskega izkazovanja tako za zamenljive materiale kot tudi za zamenljive izdelke iz tarifne številke HS 1701. Navedeno pomeni, da ni nujno, da je beli sladkor s poreklom iz tarifne oznake KN 1701 99 10, skladiščen v EU skupaj  z belim sladkorjem brez porekla v okviru dovoljenja za ločeno knjigovodsko izkazovanje, pred izvozom iz EU obdelan ali predelan, da bi se štel za izdelek s poreklom. Vendar pa je treba poudariti, da se beli sladkor s poreklom iz tarifne oznake KN 1701 99 10, skladiščen v EU skupaj s sladkorjem brez porekla, ki v EU ni bil obdelan ali predelan, šteje kot izdelek s poreklom samo, če se izvozi v eno izmed držav, ki z EU uporablja tudi prehodna PEM pravila in je v okviru prehodnih pravil s to pogodbenico uporabnico</w:t>
      </w:r>
      <w:r>
        <w:rPr>
          <w:rStyle w:val="Sprotnaopomba-sklic"/>
          <w:b w:val="0"/>
          <w:bCs/>
          <w:lang w:val="sl-SI"/>
        </w:rPr>
        <w:footnoteReference w:id="3"/>
      </w:r>
      <w:r>
        <w:rPr>
          <w:b w:val="0"/>
          <w:bCs/>
          <w:lang w:val="sl-SI"/>
        </w:rPr>
        <w:t xml:space="preserve"> možna kumulacija (pri kumulaciji je treba upoštevati vse pogodbenice uporabnice: EU, pogodbenico uporabnico, čigar poreklo ima beli sladkor in pogodbenico uporabnico, v katero se izvaža beli sladkor; v zvezi s kumulacijo porekla blaga je treba upoštevati</w:t>
      </w:r>
      <w:r w:rsidRPr="00F165AD">
        <w:rPr>
          <w:lang w:val="sl-SI"/>
        </w:rPr>
        <w:t xml:space="preserve"> </w:t>
      </w:r>
      <w:r w:rsidRPr="00F165AD">
        <w:rPr>
          <w:b w:val="0"/>
          <w:bCs/>
          <w:lang w:val="sl-SI"/>
        </w:rPr>
        <w:t xml:space="preserve">možnost diagonalne kumulacije </w:t>
      </w:r>
      <w:r>
        <w:rPr>
          <w:b w:val="0"/>
          <w:bCs/>
          <w:lang w:val="sl-SI"/>
        </w:rPr>
        <w:t xml:space="preserve">v </w:t>
      </w:r>
      <w:r>
        <w:rPr>
          <w:b w:val="0"/>
          <w:bCs/>
          <w:lang w:val="sl-SI"/>
        </w:rPr>
        <w:lastRenderedPageBreak/>
        <w:t xml:space="preserve">okviru prehodnih PEM pravil o poreklu v pan-evro-mediteranskem območju oziroma zadnje </w:t>
      </w:r>
      <w:r w:rsidRPr="00F165AD">
        <w:rPr>
          <w:b w:val="0"/>
          <w:bCs/>
          <w:lang w:val="sl-SI"/>
        </w:rPr>
        <w:t>obvestilo Komisije o uporabi prehodnih pravil o poreklu, ki določajo diagonalno kumulacijo med pogodbenicami uporabnicami v pan-evro-mediteranskem območju</w:t>
      </w:r>
      <w:r>
        <w:rPr>
          <w:b w:val="0"/>
          <w:bCs/>
          <w:lang w:val="sl-SI"/>
        </w:rPr>
        <w:t xml:space="preserve">: </w:t>
      </w:r>
      <w:hyperlink r:id="rId12" w:history="1">
        <w:r w:rsidRPr="005D7092">
          <w:rPr>
            <w:rStyle w:val="Hiperpovezava"/>
            <w:b w:val="0"/>
            <w:bCs/>
            <w:lang w:val="sl-SI"/>
          </w:rPr>
          <w:t>Uradni list EU C 51</w:t>
        </w:r>
      </w:hyperlink>
      <w:r>
        <w:rPr>
          <w:b w:val="0"/>
          <w:bCs/>
          <w:lang w:val="sl-SI"/>
        </w:rPr>
        <w:t>,</w:t>
      </w:r>
      <w:r w:rsidRPr="005348A8">
        <w:rPr>
          <w:lang w:val="sl-SI"/>
        </w:rPr>
        <w:t xml:space="preserve"> </w:t>
      </w:r>
      <w:r>
        <w:rPr>
          <w:b w:val="0"/>
          <w:bCs/>
          <w:lang w:val="sl-SI"/>
        </w:rPr>
        <w:t>z dne). Če se beli sladkor s poreklom, skladiščen v EU skupaj z belim sladkorjem brez porekla, izvozi iz EU kot izdelek s poreklom (ob pogoju, da država, v katero se izvaža beli sladkor, z EU vzporedno uporablja prehodna PEM pravila in je v okviru prehodnih pravil možna kumulacija), se lahko zanj izda / sestavi dokazilo o poreklu samo v skladu s prehodnimi PEM pravili (p</w:t>
      </w:r>
      <w:r w:rsidRPr="00C655BE">
        <w:rPr>
          <w:b w:val="0"/>
          <w:bCs/>
          <w:lang w:val="sl-SI"/>
        </w:rPr>
        <w:t xml:space="preserve">otrdilo o gibanju blaga EUR.1 v polju 7 vključuje izjavo v angleškem jeziku </w:t>
      </w:r>
      <w:r>
        <w:rPr>
          <w:b w:val="0"/>
          <w:bCs/>
          <w:lang w:val="sl-SI"/>
        </w:rPr>
        <w:t>»</w:t>
      </w:r>
      <w:r w:rsidRPr="00C655BE">
        <w:rPr>
          <w:b w:val="0"/>
          <w:bCs/>
          <w:lang w:val="sl-SI"/>
        </w:rPr>
        <w:t>TRANSITIONAL RULES</w:t>
      </w:r>
      <w:r>
        <w:rPr>
          <w:b w:val="0"/>
          <w:bCs/>
          <w:lang w:val="sl-SI"/>
        </w:rPr>
        <w:t>«; v besedilu izjave o poreklu je dodano: ……. »</w:t>
      </w:r>
      <w:r w:rsidRPr="00C655BE">
        <w:rPr>
          <w:b w:val="0"/>
          <w:bCs/>
          <w:lang w:val="sl-SI"/>
        </w:rPr>
        <w:t>v skladu s prehodnimi pravili o poreklu</w:t>
      </w:r>
      <w:r>
        <w:rPr>
          <w:b w:val="0"/>
          <w:bCs/>
          <w:lang w:val="sl-SI"/>
        </w:rPr>
        <w:t xml:space="preserve">«). Ob izdaji / sestavi dokazila o poreklu je treba zagotoviti, da so bile zaloge izdelkov s poreklom glede na knjigovodstvo na voljo v zadostnih količinah, da se lahko izda / sestavi dokazilo o poreklu. </w:t>
      </w:r>
    </w:p>
    <w:p w14:paraId="0C82FD20" w14:textId="77777777" w:rsidR="00D71B1F" w:rsidRDefault="00D71B1F" w:rsidP="00D71B1F">
      <w:pPr>
        <w:pStyle w:val="ZADEVA"/>
        <w:tabs>
          <w:tab w:val="clear" w:pos="1701"/>
          <w:tab w:val="left" w:pos="0"/>
        </w:tabs>
        <w:ind w:left="0" w:firstLine="0"/>
        <w:jc w:val="both"/>
        <w:rPr>
          <w:b w:val="0"/>
          <w:bCs/>
          <w:lang w:val="sl-SI"/>
        </w:rPr>
      </w:pPr>
    </w:p>
    <w:p w14:paraId="18357644" w14:textId="77777777" w:rsidR="00D71B1F" w:rsidRPr="00CF1688" w:rsidRDefault="00000000" w:rsidP="00D71B1F">
      <w:pPr>
        <w:pStyle w:val="ZADEVA"/>
        <w:tabs>
          <w:tab w:val="clear" w:pos="1701"/>
          <w:tab w:val="left" w:pos="0"/>
        </w:tabs>
        <w:ind w:left="0" w:firstLine="0"/>
        <w:jc w:val="both"/>
        <w:rPr>
          <w:lang w:val="sl-SI"/>
        </w:rPr>
      </w:pPr>
      <w:r w:rsidRPr="00CF1688">
        <w:rPr>
          <w:lang w:val="sl-SI"/>
        </w:rPr>
        <w:t xml:space="preserve">Notranji trg EU in izjava dobavitelja </w:t>
      </w:r>
    </w:p>
    <w:p w14:paraId="5606C6AC" w14:textId="77777777" w:rsidR="00D71B1F" w:rsidRDefault="00D71B1F" w:rsidP="00D71B1F">
      <w:pPr>
        <w:pStyle w:val="ZADEVA"/>
        <w:tabs>
          <w:tab w:val="clear" w:pos="1701"/>
          <w:tab w:val="left" w:pos="0"/>
        </w:tabs>
        <w:ind w:left="0" w:firstLine="0"/>
        <w:jc w:val="both"/>
        <w:rPr>
          <w:b w:val="0"/>
          <w:bCs/>
          <w:lang w:val="sl-SI"/>
        </w:rPr>
      </w:pPr>
    </w:p>
    <w:p w14:paraId="5D00A89F" w14:textId="77777777" w:rsidR="00D71B1F" w:rsidRDefault="00000000" w:rsidP="00D71B1F">
      <w:pPr>
        <w:pStyle w:val="ZADEVA"/>
        <w:tabs>
          <w:tab w:val="clear" w:pos="1701"/>
          <w:tab w:val="left" w:pos="0"/>
        </w:tabs>
        <w:ind w:left="0" w:firstLine="0"/>
        <w:jc w:val="both"/>
        <w:rPr>
          <w:b w:val="0"/>
          <w:bCs/>
          <w:lang w:val="sl-SI"/>
        </w:rPr>
      </w:pPr>
      <w:r>
        <w:rPr>
          <w:b w:val="0"/>
          <w:bCs/>
          <w:lang w:val="sl-SI"/>
        </w:rPr>
        <w:t xml:space="preserve">V primeru prodaje </w:t>
      </w:r>
      <w:r w:rsidRPr="00B5309B">
        <w:rPr>
          <w:b w:val="0"/>
          <w:bCs/>
          <w:u w:val="single"/>
          <w:lang w:val="sl-SI"/>
        </w:rPr>
        <w:t>materialov</w:t>
      </w:r>
      <w:r>
        <w:rPr>
          <w:b w:val="0"/>
          <w:bCs/>
          <w:lang w:val="sl-SI"/>
        </w:rPr>
        <w:t>, za katere je bila v EU uporabljena metoda ločenega knjigovodskega izkazovanja, na notranji trg EU in sestave izjave dobavitelja, je treba poleg vsega zgoraj navedenega (preferencialni režim predpisuje / ne predpisuje uporabo metode ločenega knjigovodskega izkazovanja</w:t>
      </w:r>
      <w:r>
        <w:rPr>
          <w:rStyle w:val="Sprotnaopomba-sklic"/>
          <w:b w:val="0"/>
          <w:bCs/>
          <w:lang w:val="sl-SI"/>
        </w:rPr>
        <w:footnoteReference w:id="4"/>
      </w:r>
      <w:r>
        <w:rPr>
          <w:b w:val="0"/>
          <w:bCs/>
          <w:lang w:val="sl-SI"/>
        </w:rPr>
        <w:t>, poreklo zamenljivih materialov in možnosti kumulacije s temi materiali, zadostna zaloga materialov s poreklom na dan določitve porekla) upoštevati še, da</w:t>
      </w:r>
      <w:r w:rsidRPr="00B5309B">
        <w:rPr>
          <w:b w:val="0"/>
          <w:bCs/>
          <w:lang w:val="sl-SI"/>
        </w:rPr>
        <w:t xml:space="preserve"> mora biti v izjavi dobavitelja jasno navedeno, da so materiali </w:t>
      </w:r>
      <w:r>
        <w:rPr>
          <w:b w:val="0"/>
          <w:bCs/>
          <w:lang w:val="sl-SI"/>
        </w:rPr>
        <w:t xml:space="preserve">pridobili </w:t>
      </w:r>
      <w:r w:rsidRPr="00B5309B">
        <w:rPr>
          <w:b w:val="0"/>
          <w:bCs/>
          <w:lang w:val="sl-SI"/>
        </w:rPr>
        <w:t xml:space="preserve">poreklo </w:t>
      </w:r>
      <w:r>
        <w:rPr>
          <w:b w:val="0"/>
          <w:bCs/>
          <w:lang w:val="sl-SI"/>
        </w:rPr>
        <w:t xml:space="preserve">na osnovi metode ločenega knjigovodskega izkazovanja </w:t>
      </w:r>
      <w:r w:rsidRPr="00B5309B">
        <w:rPr>
          <w:b w:val="0"/>
          <w:bCs/>
          <w:lang w:val="sl-SI"/>
        </w:rPr>
        <w:t xml:space="preserve">in da ti materiali ohranijo status </w:t>
      </w:r>
      <w:r>
        <w:rPr>
          <w:b w:val="0"/>
          <w:bCs/>
          <w:lang w:val="sl-SI"/>
        </w:rPr>
        <w:t>blaga</w:t>
      </w:r>
      <w:r w:rsidRPr="00B5309B">
        <w:rPr>
          <w:b w:val="0"/>
          <w:bCs/>
          <w:lang w:val="sl-SI"/>
        </w:rPr>
        <w:t xml:space="preserve"> s poreklom le, če </w:t>
      </w:r>
      <w:r>
        <w:rPr>
          <w:b w:val="0"/>
          <w:bCs/>
          <w:lang w:val="sl-SI"/>
        </w:rPr>
        <w:t xml:space="preserve">bodo pred izvozom iz EU v EU nadalje obdelani ali predelani. V primeru prodaje </w:t>
      </w:r>
      <w:r w:rsidRPr="00B5309B">
        <w:rPr>
          <w:b w:val="0"/>
          <w:bCs/>
          <w:u w:val="single"/>
          <w:lang w:val="sl-SI"/>
        </w:rPr>
        <w:t>izdelkov</w:t>
      </w:r>
      <w:r>
        <w:rPr>
          <w:b w:val="0"/>
          <w:bCs/>
          <w:lang w:val="sl-SI"/>
        </w:rPr>
        <w:t>,</w:t>
      </w:r>
      <w:r w:rsidRPr="00B5309B">
        <w:rPr>
          <w:lang w:val="sl-SI"/>
        </w:rPr>
        <w:t xml:space="preserve"> </w:t>
      </w:r>
      <w:r w:rsidRPr="00B5309B">
        <w:rPr>
          <w:b w:val="0"/>
          <w:bCs/>
          <w:lang w:val="sl-SI"/>
        </w:rPr>
        <w:t xml:space="preserve">za katere je bila v EU uporabljena metoda ločenega knjigovodskega izkazovanja, na notranji trg EU in sestave izjave dobavitelja, je treba </w:t>
      </w:r>
      <w:r>
        <w:rPr>
          <w:b w:val="0"/>
          <w:bCs/>
          <w:lang w:val="sl-SI"/>
        </w:rPr>
        <w:t>preveriti, ali p</w:t>
      </w:r>
      <w:r w:rsidRPr="00B5309B">
        <w:rPr>
          <w:b w:val="0"/>
          <w:bCs/>
          <w:lang w:val="sl-SI"/>
        </w:rPr>
        <w:t xml:space="preserve">referencialni režim </w:t>
      </w:r>
      <w:r>
        <w:rPr>
          <w:b w:val="0"/>
          <w:bCs/>
          <w:lang w:val="sl-SI"/>
        </w:rPr>
        <w:t xml:space="preserve">dovoljuje </w:t>
      </w:r>
      <w:r w:rsidRPr="00B5309B">
        <w:rPr>
          <w:b w:val="0"/>
          <w:bCs/>
          <w:lang w:val="sl-SI"/>
        </w:rPr>
        <w:t>uporabo metode ločenega knjigovodskega izkazovanja</w:t>
      </w:r>
      <w:r>
        <w:rPr>
          <w:b w:val="0"/>
          <w:bCs/>
          <w:lang w:val="sl-SI"/>
        </w:rPr>
        <w:t xml:space="preserve"> tudi za nekatere izdelke, poreklo zamenljivih izdelkov in možnosti kumulacije s temi izdelki ter ali je glede na knjigovodstvo na voljo zadostna zaloga izdelkov s poreklom (opomba: ni potrebna posebna navedba glede zahteve po uporabi blaga v nadaljnji obdelavi ali predelavi kot v primeru prodaje materialov). </w:t>
      </w:r>
      <w:r w:rsidRPr="00696B6F">
        <w:rPr>
          <w:b w:val="0"/>
          <w:bCs/>
          <w:lang w:val="sl-SI"/>
        </w:rPr>
        <w:t xml:space="preserve">Uporaba </w:t>
      </w:r>
      <w:r>
        <w:rPr>
          <w:b w:val="0"/>
          <w:bCs/>
          <w:lang w:val="sl-SI"/>
        </w:rPr>
        <w:t xml:space="preserve">metode ločenega knjigovodskega izkazovanja </w:t>
      </w:r>
      <w:r w:rsidRPr="00696B6F">
        <w:rPr>
          <w:b w:val="0"/>
          <w:bCs/>
          <w:lang w:val="sl-SI"/>
        </w:rPr>
        <w:t>ne sme povzročiti, da se izjava dobavitelja sestavi za več materialov</w:t>
      </w:r>
      <w:r>
        <w:rPr>
          <w:b w:val="0"/>
          <w:bCs/>
          <w:lang w:val="sl-SI"/>
        </w:rPr>
        <w:t xml:space="preserve"> / izdelkov</w:t>
      </w:r>
      <w:r w:rsidRPr="00696B6F">
        <w:rPr>
          <w:b w:val="0"/>
          <w:bCs/>
          <w:lang w:val="sl-SI"/>
        </w:rPr>
        <w:t xml:space="preserve"> s poreklom, kot bi </w:t>
      </w:r>
      <w:r>
        <w:rPr>
          <w:b w:val="0"/>
          <w:bCs/>
          <w:lang w:val="sl-SI"/>
        </w:rPr>
        <w:t xml:space="preserve">jih </w:t>
      </w:r>
      <w:r w:rsidRPr="00696B6F">
        <w:rPr>
          <w:b w:val="0"/>
          <w:bCs/>
          <w:lang w:val="sl-SI"/>
        </w:rPr>
        <w:t>bilo, če bi bili materiali</w:t>
      </w:r>
      <w:r>
        <w:rPr>
          <w:b w:val="0"/>
          <w:bCs/>
          <w:lang w:val="sl-SI"/>
        </w:rPr>
        <w:t xml:space="preserve"> / izdelki</w:t>
      </w:r>
      <w:r w:rsidRPr="00696B6F">
        <w:rPr>
          <w:b w:val="0"/>
          <w:bCs/>
          <w:lang w:val="sl-SI"/>
        </w:rPr>
        <w:t xml:space="preserve"> fizično ločeni.</w:t>
      </w:r>
      <w:r>
        <w:rPr>
          <w:b w:val="0"/>
          <w:bCs/>
          <w:lang w:val="sl-SI"/>
        </w:rPr>
        <w:t xml:space="preserve"> </w:t>
      </w:r>
      <w:r w:rsidRPr="00696B6F">
        <w:rPr>
          <w:b w:val="0"/>
          <w:bCs/>
          <w:lang w:val="sl-SI"/>
        </w:rPr>
        <w:t>V vsakem trenutku dobave materialov</w:t>
      </w:r>
      <w:r>
        <w:rPr>
          <w:b w:val="0"/>
          <w:bCs/>
          <w:lang w:val="sl-SI"/>
        </w:rPr>
        <w:t xml:space="preserve"> / izdelkov</w:t>
      </w:r>
      <w:r w:rsidRPr="00696B6F">
        <w:rPr>
          <w:b w:val="0"/>
          <w:bCs/>
          <w:lang w:val="sl-SI"/>
        </w:rPr>
        <w:t xml:space="preserve"> s poreklom, za katere </w:t>
      </w:r>
      <w:r>
        <w:rPr>
          <w:b w:val="0"/>
          <w:bCs/>
          <w:lang w:val="sl-SI"/>
        </w:rPr>
        <w:t>se sestavi</w:t>
      </w:r>
      <w:r w:rsidRPr="00696B6F">
        <w:rPr>
          <w:b w:val="0"/>
          <w:bCs/>
          <w:lang w:val="sl-SI"/>
        </w:rPr>
        <w:t xml:space="preserve"> izjava dobavitelja, mora biti na zalogi razpoložljiva količina materialov</w:t>
      </w:r>
      <w:r>
        <w:rPr>
          <w:b w:val="0"/>
          <w:bCs/>
          <w:lang w:val="sl-SI"/>
        </w:rPr>
        <w:t xml:space="preserve"> / izdelkov</w:t>
      </w:r>
      <w:r w:rsidRPr="00696B6F">
        <w:rPr>
          <w:b w:val="0"/>
          <w:bCs/>
          <w:lang w:val="sl-SI"/>
        </w:rPr>
        <w:t xml:space="preserve"> s poreklom.</w:t>
      </w:r>
      <w:r>
        <w:rPr>
          <w:b w:val="0"/>
          <w:bCs/>
          <w:lang w:val="sl-SI"/>
        </w:rPr>
        <w:t xml:space="preserve"> </w:t>
      </w:r>
      <w:r w:rsidRPr="00107EE9">
        <w:rPr>
          <w:b w:val="0"/>
          <w:bCs/>
          <w:lang w:val="sl-SI"/>
        </w:rPr>
        <w:t>Dolgoročn</w:t>
      </w:r>
      <w:r>
        <w:rPr>
          <w:b w:val="0"/>
          <w:bCs/>
          <w:lang w:val="sl-SI"/>
        </w:rPr>
        <w:t>o</w:t>
      </w:r>
      <w:r w:rsidRPr="00107EE9">
        <w:rPr>
          <w:b w:val="0"/>
          <w:bCs/>
          <w:lang w:val="sl-SI"/>
        </w:rPr>
        <w:t xml:space="preserve"> izjav</w:t>
      </w:r>
      <w:r>
        <w:rPr>
          <w:b w:val="0"/>
          <w:bCs/>
          <w:lang w:val="sl-SI"/>
        </w:rPr>
        <w:t>o</w:t>
      </w:r>
      <w:r w:rsidRPr="00107EE9">
        <w:rPr>
          <w:b w:val="0"/>
          <w:bCs/>
          <w:lang w:val="sl-SI"/>
        </w:rPr>
        <w:t xml:space="preserve"> dobavitelj</w:t>
      </w:r>
      <w:r>
        <w:rPr>
          <w:b w:val="0"/>
          <w:bCs/>
          <w:lang w:val="sl-SI"/>
        </w:rPr>
        <w:t>a</w:t>
      </w:r>
      <w:r w:rsidRPr="00107EE9">
        <w:rPr>
          <w:b w:val="0"/>
          <w:bCs/>
          <w:lang w:val="sl-SI"/>
        </w:rPr>
        <w:t xml:space="preserve"> je mogoče sestaviti le, če je v času dobave vsake posamezne pošiljke ali </w:t>
      </w:r>
      <w:r>
        <w:rPr>
          <w:b w:val="0"/>
          <w:bCs/>
          <w:lang w:val="sl-SI"/>
        </w:rPr>
        <w:t xml:space="preserve">izdelave </w:t>
      </w:r>
      <w:r w:rsidRPr="00107EE9">
        <w:rPr>
          <w:b w:val="0"/>
          <w:bCs/>
          <w:lang w:val="sl-SI"/>
        </w:rPr>
        <w:t>izdelka zadostna količina materiala s poreklom.</w:t>
      </w:r>
      <w:r>
        <w:rPr>
          <w:b w:val="0"/>
          <w:bCs/>
          <w:lang w:val="sl-SI"/>
        </w:rPr>
        <w:t xml:space="preserve">  </w:t>
      </w:r>
    </w:p>
    <w:p w14:paraId="7D51CA6D" w14:textId="77777777" w:rsidR="00D71B1F" w:rsidRDefault="00D71B1F" w:rsidP="00D71B1F">
      <w:pPr>
        <w:jc w:val="both"/>
        <w:rPr>
          <w:lang w:val="sl-SI"/>
        </w:rPr>
      </w:pPr>
    </w:p>
    <w:p w14:paraId="32E90717" w14:textId="77777777" w:rsidR="001A3BA5" w:rsidRPr="00BC2517" w:rsidRDefault="00000000" w:rsidP="005149DF">
      <w:pPr>
        <w:pStyle w:val="podpisi"/>
        <w:tabs>
          <w:tab w:val="left" w:pos="709"/>
        </w:tabs>
        <w:rPr>
          <w:lang w:val="sl-SI"/>
        </w:rPr>
      </w:pPr>
      <w:r w:rsidRPr="00BC2517">
        <w:rPr>
          <w:lang w:val="sl-SI"/>
        </w:rPr>
        <w:tab/>
      </w:r>
    </w:p>
    <w:sectPr w:rsidR="001A3BA5" w:rsidRPr="00BC2517" w:rsidSect="00F0025B">
      <w:headerReference w:type="even" r:id="rId13"/>
      <w:headerReference w:type="default" r:id="rId14"/>
      <w:footerReference w:type="even" r:id="rId15"/>
      <w:footerReference w:type="default" r:id="rId16"/>
      <w:headerReference w:type="first" r:id="rId17"/>
      <w:footerReference w:type="first" r:id="rId18"/>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D71A" w14:textId="77777777" w:rsidR="00F92FFA" w:rsidRDefault="00F92FFA">
      <w:pPr>
        <w:spacing w:line="240" w:lineRule="auto"/>
      </w:pPr>
      <w:r>
        <w:separator/>
      </w:r>
    </w:p>
  </w:endnote>
  <w:endnote w:type="continuationSeparator" w:id="0">
    <w:p w14:paraId="0428356F" w14:textId="77777777" w:rsidR="00F92FFA" w:rsidRDefault="00F92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068A"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0342" w14:textId="77777777" w:rsidR="000B0B21"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389A" w14:textId="77777777" w:rsidR="000B0B21"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3B4C" w14:textId="77777777" w:rsidR="00F92FFA" w:rsidRDefault="00F92FFA">
      <w:pPr>
        <w:spacing w:line="240" w:lineRule="auto"/>
      </w:pPr>
      <w:r>
        <w:separator/>
      </w:r>
    </w:p>
  </w:footnote>
  <w:footnote w:type="continuationSeparator" w:id="0">
    <w:p w14:paraId="43B6304E" w14:textId="77777777" w:rsidR="00F92FFA" w:rsidRDefault="00F92FFA">
      <w:pPr>
        <w:spacing w:line="240" w:lineRule="auto"/>
      </w:pPr>
      <w:r>
        <w:continuationSeparator/>
      </w:r>
    </w:p>
  </w:footnote>
  <w:footnote w:id="1">
    <w:p w14:paraId="1C29A521" w14:textId="77777777" w:rsidR="00D71B1F" w:rsidRPr="009C2E0C" w:rsidRDefault="00000000" w:rsidP="00D71B1F">
      <w:pPr>
        <w:pStyle w:val="Sprotnaopomba-besedilo"/>
        <w:jc w:val="both"/>
        <w:rPr>
          <w:lang w:val="sl-SI"/>
        </w:rPr>
      </w:pPr>
      <w:r>
        <w:rPr>
          <w:rStyle w:val="Sprotnaopomba-sklic"/>
        </w:rPr>
        <w:footnoteRef/>
      </w:r>
      <w:r w:rsidRPr="0022598E">
        <w:rPr>
          <w:lang w:val="it-IT"/>
        </w:rPr>
        <w:t xml:space="preserve"> </w:t>
      </w:r>
      <w:r>
        <w:rPr>
          <w:lang w:val="sl-SI"/>
        </w:rPr>
        <w:t>»Material« pomeni vsako sestavino, surovino, sestavni del ali del itd., ki se uporablja za izdelavo izdelka.</w:t>
      </w:r>
    </w:p>
  </w:footnote>
  <w:footnote w:id="2">
    <w:p w14:paraId="04B09665" w14:textId="77777777" w:rsidR="00D71B1F" w:rsidRPr="007D686C" w:rsidRDefault="00000000" w:rsidP="00D71B1F">
      <w:pPr>
        <w:pStyle w:val="Sprotnaopomba-besedilo"/>
        <w:jc w:val="both"/>
        <w:rPr>
          <w:lang w:val="sl-SI"/>
        </w:rPr>
      </w:pPr>
      <w:r>
        <w:rPr>
          <w:rStyle w:val="Sprotnaopomba-sklic"/>
        </w:rPr>
        <w:footnoteRef/>
      </w:r>
      <w:r w:rsidRPr="007D686C">
        <w:rPr>
          <w:lang w:val="sl-SI"/>
        </w:rPr>
        <w:t xml:space="preserve"> </w:t>
      </w:r>
      <w:r>
        <w:rPr>
          <w:lang w:val="sl-SI"/>
        </w:rPr>
        <w:t>»Izdelek« pomeni izdelek, ki se izdeluje, četudi je namenjen za poznejšo uporabo v drugem postopku izdelave.</w:t>
      </w:r>
    </w:p>
  </w:footnote>
  <w:footnote w:id="3">
    <w:p w14:paraId="05864509" w14:textId="77777777" w:rsidR="00D71B1F" w:rsidRPr="005D7092" w:rsidRDefault="00000000" w:rsidP="00D71B1F">
      <w:pPr>
        <w:pStyle w:val="Sprotnaopomba-besedilo"/>
        <w:jc w:val="both"/>
        <w:rPr>
          <w:lang w:val="sl-SI"/>
        </w:rPr>
      </w:pPr>
      <w:r>
        <w:rPr>
          <w:rStyle w:val="Sprotnaopomba-sklic"/>
        </w:rPr>
        <w:footnoteRef/>
      </w:r>
      <w:r w:rsidRPr="005D7092">
        <w:rPr>
          <w:lang w:val="sl-SI"/>
        </w:rPr>
        <w:t xml:space="preserve"> </w:t>
      </w:r>
      <w:r>
        <w:rPr>
          <w:lang w:val="sl-SI"/>
        </w:rPr>
        <w:t xml:space="preserve">»Pogodbenica uporabnica« </w:t>
      </w:r>
      <w:r w:rsidRPr="00D109A0">
        <w:rPr>
          <w:lang w:val="sl-SI"/>
        </w:rPr>
        <w:t xml:space="preserve">pomeni pogodbenico </w:t>
      </w:r>
      <w:r>
        <w:rPr>
          <w:lang w:val="sl-SI"/>
        </w:rPr>
        <w:t xml:space="preserve">PEM </w:t>
      </w:r>
      <w:r w:rsidRPr="00D109A0">
        <w:rPr>
          <w:lang w:val="sl-SI"/>
        </w:rPr>
        <w:t xml:space="preserve">Konvencije, ki </w:t>
      </w:r>
      <w:r>
        <w:rPr>
          <w:lang w:val="sl-SI"/>
        </w:rPr>
        <w:t xml:space="preserve">prehodna </w:t>
      </w:r>
      <w:r w:rsidRPr="00D109A0">
        <w:rPr>
          <w:lang w:val="sl-SI"/>
        </w:rPr>
        <w:t xml:space="preserve">pravila </w:t>
      </w:r>
      <w:r>
        <w:rPr>
          <w:lang w:val="sl-SI"/>
        </w:rPr>
        <w:t xml:space="preserve">o poreklu </w:t>
      </w:r>
      <w:r w:rsidRPr="00D109A0">
        <w:rPr>
          <w:lang w:val="sl-SI"/>
        </w:rPr>
        <w:t>vključi v svoje dvostranske preferencialne trgovinske sporazume z drugo pogodbenico</w:t>
      </w:r>
      <w:r>
        <w:rPr>
          <w:lang w:val="sl-SI"/>
        </w:rPr>
        <w:t xml:space="preserve"> PEM </w:t>
      </w:r>
      <w:r w:rsidRPr="00D109A0">
        <w:rPr>
          <w:lang w:val="sl-SI"/>
        </w:rPr>
        <w:t>Konvencije</w:t>
      </w:r>
      <w:r>
        <w:rPr>
          <w:lang w:val="sl-SI"/>
        </w:rPr>
        <w:t>.</w:t>
      </w:r>
    </w:p>
  </w:footnote>
  <w:footnote w:id="4">
    <w:p w14:paraId="0B13216C" w14:textId="77777777" w:rsidR="00D71B1F" w:rsidRPr="00010BC7" w:rsidRDefault="00000000" w:rsidP="00D71B1F">
      <w:pPr>
        <w:pStyle w:val="Sprotnaopomba-besedilo"/>
        <w:jc w:val="both"/>
        <w:rPr>
          <w:lang w:val="sl-SI"/>
        </w:rPr>
      </w:pPr>
      <w:r>
        <w:rPr>
          <w:rStyle w:val="Sprotnaopomba-sklic"/>
        </w:rPr>
        <w:footnoteRef/>
      </w:r>
      <w:r w:rsidRPr="00010BC7">
        <w:rPr>
          <w:lang w:val="sl-SI"/>
        </w:rPr>
        <w:t xml:space="preserve"> </w:t>
      </w:r>
      <w:r>
        <w:rPr>
          <w:lang w:val="sl-SI"/>
        </w:rPr>
        <w:t>Glede na države, skupine držav ali ozemlje, navedene(-o) pod opombami (</w:t>
      </w:r>
      <w:r w:rsidRPr="00010BC7">
        <w:rPr>
          <w:vertAlign w:val="superscript"/>
          <w:lang w:val="sl-SI"/>
        </w:rPr>
        <w:t>3</w:t>
      </w:r>
      <w:r>
        <w:rPr>
          <w:lang w:val="sl-SI"/>
        </w:rPr>
        <w:t>), (</w:t>
      </w:r>
      <w:r w:rsidRPr="00010BC7">
        <w:rPr>
          <w:vertAlign w:val="superscript"/>
          <w:lang w:val="sl-SI"/>
        </w:rPr>
        <w:t>5</w:t>
      </w:r>
      <w:r>
        <w:rPr>
          <w:lang w:val="sl-SI"/>
        </w:rPr>
        <w:t>) ali (</w:t>
      </w:r>
      <w:r w:rsidRPr="00010BC7">
        <w:rPr>
          <w:vertAlign w:val="superscript"/>
          <w:lang w:val="sl-SI"/>
        </w:rPr>
        <w:t>6</w:t>
      </w:r>
      <w:r>
        <w:rPr>
          <w:lang w:val="sl-SI"/>
        </w:rPr>
        <w:t xml:space="preserve">) v izjavi dobavitelja.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6855"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527A"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55CB0" w14:paraId="7D040ABB" w14:textId="77777777">
      <w:trPr>
        <w:cantSplit/>
        <w:trHeight w:hRule="exact" w:val="847"/>
      </w:trPr>
      <w:tc>
        <w:tcPr>
          <w:tcW w:w="567" w:type="dxa"/>
        </w:tcPr>
        <w:p w14:paraId="55F80142" w14:textId="77777777" w:rsidR="000B0B21"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655369E" w14:textId="77777777" w:rsidR="000B0B21" w:rsidRPr="006D42D9" w:rsidRDefault="000B0B21" w:rsidP="006D42D9">
          <w:pPr>
            <w:rPr>
              <w:rFonts w:ascii="Republika" w:hAnsi="Republika"/>
              <w:sz w:val="60"/>
              <w:szCs w:val="60"/>
              <w:lang w:val="sl-SI"/>
            </w:rPr>
          </w:pPr>
        </w:p>
        <w:p w14:paraId="2E1D059F" w14:textId="77777777" w:rsidR="000B0B21" w:rsidRPr="006D42D9" w:rsidRDefault="000B0B21" w:rsidP="006D42D9">
          <w:pPr>
            <w:rPr>
              <w:rFonts w:ascii="Republika" w:hAnsi="Republika"/>
              <w:sz w:val="60"/>
              <w:szCs w:val="60"/>
              <w:lang w:val="sl-SI"/>
            </w:rPr>
          </w:pPr>
        </w:p>
        <w:p w14:paraId="2A6D5D69" w14:textId="77777777" w:rsidR="000B0B21" w:rsidRPr="006D42D9" w:rsidRDefault="000B0B21" w:rsidP="006D42D9">
          <w:pPr>
            <w:rPr>
              <w:rFonts w:ascii="Republika" w:hAnsi="Republika"/>
              <w:sz w:val="60"/>
              <w:szCs w:val="60"/>
              <w:lang w:val="sl-SI"/>
            </w:rPr>
          </w:pPr>
        </w:p>
        <w:p w14:paraId="40A544E9" w14:textId="77777777" w:rsidR="000B0B21" w:rsidRPr="006D42D9" w:rsidRDefault="000B0B21" w:rsidP="006D42D9">
          <w:pPr>
            <w:rPr>
              <w:rFonts w:ascii="Republika" w:hAnsi="Republika"/>
              <w:sz w:val="60"/>
              <w:szCs w:val="60"/>
              <w:lang w:val="sl-SI"/>
            </w:rPr>
          </w:pPr>
        </w:p>
        <w:p w14:paraId="1F51683A" w14:textId="77777777" w:rsidR="000B0B21" w:rsidRPr="006D42D9" w:rsidRDefault="000B0B21" w:rsidP="006D42D9">
          <w:pPr>
            <w:rPr>
              <w:rFonts w:ascii="Republika" w:hAnsi="Republika"/>
              <w:sz w:val="60"/>
              <w:szCs w:val="60"/>
              <w:lang w:val="sl-SI"/>
            </w:rPr>
          </w:pPr>
        </w:p>
        <w:p w14:paraId="11183AC9" w14:textId="77777777" w:rsidR="000B0B21" w:rsidRPr="006D42D9" w:rsidRDefault="000B0B21" w:rsidP="006D42D9">
          <w:pPr>
            <w:rPr>
              <w:rFonts w:ascii="Republika" w:hAnsi="Republika"/>
              <w:sz w:val="60"/>
              <w:szCs w:val="60"/>
              <w:lang w:val="sl-SI"/>
            </w:rPr>
          </w:pPr>
        </w:p>
        <w:p w14:paraId="6993EFF5" w14:textId="77777777" w:rsidR="000B0B21" w:rsidRPr="006D42D9" w:rsidRDefault="000B0B21" w:rsidP="006D42D9">
          <w:pPr>
            <w:rPr>
              <w:rFonts w:ascii="Republika" w:hAnsi="Republika"/>
              <w:sz w:val="60"/>
              <w:szCs w:val="60"/>
              <w:lang w:val="sl-SI"/>
            </w:rPr>
          </w:pPr>
        </w:p>
        <w:p w14:paraId="6B697A05" w14:textId="77777777" w:rsidR="000B0B21" w:rsidRPr="006D42D9" w:rsidRDefault="000B0B21" w:rsidP="006D42D9">
          <w:pPr>
            <w:rPr>
              <w:rFonts w:ascii="Republika" w:hAnsi="Republika"/>
              <w:sz w:val="60"/>
              <w:szCs w:val="60"/>
              <w:lang w:val="sl-SI"/>
            </w:rPr>
          </w:pPr>
        </w:p>
        <w:p w14:paraId="487B00DC" w14:textId="77777777" w:rsidR="000B0B21" w:rsidRPr="006D42D9" w:rsidRDefault="000B0B21" w:rsidP="006D42D9">
          <w:pPr>
            <w:rPr>
              <w:rFonts w:ascii="Republika" w:hAnsi="Republika"/>
              <w:sz w:val="60"/>
              <w:szCs w:val="60"/>
              <w:lang w:val="sl-SI"/>
            </w:rPr>
          </w:pPr>
        </w:p>
        <w:p w14:paraId="31DCD941" w14:textId="77777777" w:rsidR="000B0B21" w:rsidRPr="006D42D9" w:rsidRDefault="000B0B21" w:rsidP="006D42D9">
          <w:pPr>
            <w:rPr>
              <w:rFonts w:ascii="Republika" w:hAnsi="Republika"/>
              <w:sz w:val="60"/>
              <w:szCs w:val="60"/>
              <w:lang w:val="sl-SI"/>
            </w:rPr>
          </w:pPr>
        </w:p>
        <w:p w14:paraId="00876A95" w14:textId="77777777" w:rsidR="000B0B21" w:rsidRPr="006D42D9" w:rsidRDefault="000B0B21" w:rsidP="006D42D9">
          <w:pPr>
            <w:rPr>
              <w:rFonts w:ascii="Republika" w:hAnsi="Republika"/>
              <w:sz w:val="60"/>
              <w:szCs w:val="60"/>
              <w:lang w:val="sl-SI"/>
            </w:rPr>
          </w:pPr>
        </w:p>
        <w:p w14:paraId="6610930B" w14:textId="77777777" w:rsidR="000B0B21" w:rsidRPr="006D42D9" w:rsidRDefault="000B0B21" w:rsidP="006D42D9">
          <w:pPr>
            <w:rPr>
              <w:rFonts w:ascii="Republika" w:hAnsi="Republika"/>
              <w:sz w:val="60"/>
              <w:szCs w:val="60"/>
              <w:lang w:val="sl-SI"/>
            </w:rPr>
          </w:pPr>
        </w:p>
        <w:p w14:paraId="24E600B0" w14:textId="77777777" w:rsidR="000B0B21" w:rsidRPr="006D42D9" w:rsidRDefault="000B0B21" w:rsidP="006D42D9">
          <w:pPr>
            <w:rPr>
              <w:rFonts w:ascii="Republika" w:hAnsi="Republika"/>
              <w:sz w:val="60"/>
              <w:szCs w:val="60"/>
              <w:lang w:val="sl-SI"/>
            </w:rPr>
          </w:pPr>
        </w:p>
        <w:p w14:paraId="26B53043" w14:textId="77777777" w:rsidR="000B0B21" w:rsidRPr="006D42D9" w:rsidRDefault="000B0B21" w:rsidP="006D42D9">
          <w:pPr>
            <w:rPr>
              <w:rFonts w:ascii="Republika" w:hAnsi="Republika"/>
              <w:sz w:val="60"/>
              <w:szCs w:val="60"/>
              <w:lang w:val="sl-SI"/>
            </w:rPr>
          </w:pPr>
        </w:p>
        <w:p w14:paraId="10094964" w14:textId="77777777" w:rsidR="000B0B21" w:rsidRPr="006D42D9" w:rsidRDefault="000B0B21" w:rsidP="006D42D9">
          <w:pPr>
            <w:rPr>
              <w:rFonts w:ascii="Republika" w:hAnsi="Republika"/>
              <w:sz w:val="60"/>
              <w:szCs w:val="60"/>
              <w:lang w:val="sl-SI"/>
            </w:rPr>
          </w:pPr>
        </w:p>
        <w:p w14:paraId="4F514D01" w14:textId="77777777" w:rsidR="000B0B21" w:rsidRPr="006D42D9" w:rsidRDefault="000B0B21" w:rsidP="006D42D9">
          <w:pPr>
            <w:rPr>
              <w:rFonts w:ascii="Republika" w:hAnsi="Republika"/>
              <w:sz w:val="60"/>
              <w:szCs w:val="60"/>
              <w:lang w:val="sl-SI"/>
            </w:rPr>
          </w:pPr>
        </w:p>
      </w:tc>
    </w:tr>
  </w:tbl>
  <w:p w14:paraId="1F1CB34D" w14:textId="77777777" w:rsidR="000B0B21" w:rsidRPr="008F3500" w:rsidRDefault="00000000"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12F68F61" wp14:editId="17E736AF">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2B17651E" w14:textId="77777777" w:rsidR="000B0B21" w:rsidRPr="00FD746A" w:rsidRDefault="00000000"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3B8F0910" w14:textId="77777777" w:rsidR="00ED7E82" w:rsidRDefault="0000000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795B8A7E" w14:textId="77777777" w:rsidR="005254D1" w:rsidRPr="00A12D5C" w:rsidRDefault="00000000"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47DD0241" w14:textId="77777777" w:rsidR="005254D1" w:rsidRPr="008F3500" w:rsidRDefault="00000000"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4AC4278"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F7EBAAD"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BCC6AD2"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2DFCAC38">
      <w:start w:val="1"/>
      <w:numFmt w:val="decimal"/>
      <w:lvlText w:val="%1."/>
      <w:lvlJc w:val="left"/>
      <w:pPr>
        <w:tabs>
          <w:tab w:val="num" w:pos="1080"/>
        </w:tabs>
        <w:ind w:left="1080" w:hanging="360"/>
      </w:pPr>
      <w:rPr>
        <w:rFonts w:hint="default"/>
      </w:rPr>
    </w:lvl>
    <w:lvl w:ilvl="1" w:tplc="910CEE40" w:tentative="1">
      <w:start w:val="1"/>
      <w:numFmt w:val="lowerLetter"/>
      <w:lvlText w:val="%2."/>
      <w:lvlJc w:val="left"/>
      <w:pPr>
        <w:ind w:left="1800" w:hanging="360"/>
      </w:pPr>
    </w:lvl>
    <w:lvl w:ilvl="2" w:tplc="A59CC74C" w:tentative="1">
      <w:start w:val="1"/>
      <w:numFmt w:val="lowerRoman"/>
      <w:lvlText w:val="%3."/>
      <w:lvlJc w:val="right"/>
      <w:pPr>
        <w:ind w:left="2520" w:hanging="180"/>
      </w:pPr>
    </w:lvl>
    <w:lvl w:ilvl="3" w:tplc="41FA6C34" w:tentative="1">
      <w:start w:val="1"/>
      <w:numFmt w:val="decimal"/>
      <w:lvlText w:val="%4."/>
      <w:lvlJc w:val="left"/>
      <w:pPr>
        <w:ind w:left="3240" w:hanging="360"/>
      </w:pPr>
    </w:lvl>
    <w:lvl w:ilvl="4" w:tplc="66007F64" w:tentative="1">
      <w:start w:val="1"/>
      <w:numFmt w:val="lowerLetter"/>
      <w:lvlText w:val="%5."/>
      <w:lvlJc w:val="left"/>
      <w:pPr>
        <w:ind w:left="3960" w:hanging="360"/>
      </w:pPr>
    </w:lvl>
    <w:lvl w:ilvl="5" w:tplc="9AD437C6" w:tentative="1">
      <w:start w:val="1"/>
      <w:numFmt w:val="lowerRoman"/>
      <w:lvlText w:val="%6."/>
      <w:lvlJc w:val="right"/>
      <w:pPr>
        <w:ind w:left="4680" w:hanging="180"/>
      </w:pPr>
    </w:lvl>
    <w:lvl w:ilvl="6" w:tplc="2CF87EF8" w:tentative="1">
      <w:start w:val="1"/>
      <w:numFmt w:val="decimal"/>
      <w:lvlText w:val="%7."/>
      <w:lvlJc w:val="left"/>
      <w:pPr>
        <w:ind w:left="5400" w:hanging="360"/>
      </w:pPr>
    </w:lvl>
    <w:lvl w:ilvl="7" w:tplc="8B92DD44" w:tentative="1">
      <w:start w:val="1"/>
      <w:numFmt w:val="lowerLetter"/>
      <w:lvlText w:val="%8."/>
      <w:lvlJc w:val="left"/>
      <w:pPr>
        <w:ind w:left="6120" w:hanging="360"/>
      </w:pPr>
    </w:lvl>
    <w:lvl w:ilvl="8" w:tplc="05ECAEC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9684CA52">
      <w:start w:val="1"/>
      <w:numFmt w:val="decimal"/>
      <w:lvlText w:val="%1."/>
      <w:lvlJc w:val="left"/>
      <w:pPr>
        <w:tabs>
          <w:tab w:val="num" w:pos="360"/>
        </w:tabs>
        <w:ind w:left="360" w:hanging="360"/>
      </w:pPr>
      <w:rPr>
        <w:rFonts w:hint="default"/>
      </w:rPr>
    </w:lvl>
    <w:lvl w:ilvl="1" w:tplc="4572944C" w:tentative="1">
      <w:start w:val="1"/>
      <w:numFmt w:val="lowerLetter"/>
      <w:lvlText w:val="%2."/>
      <w:lvlJc w:val="left"/>
      <w:pPr>
        <w:ind w:left="1080" w:hanging="360"/>
      </w:pPr>
    </w:lvl>
    <w:lvl w:ilvl="2" w:tplc="D0C00240" w:tentative="1">
      <w:start w:val="1"/>
      <w:numFmt w:val="lowerRoman"/>
      <w:lvlText w:val="%3."/>
      <w:lvlJc w:val="right"/>
      <w:pPr>
        <w:ind w:left="1800" w:hanging="180"/>
      </w:pPr>
    </w:lvl>
    <w:lvl w:ilvl="3" w:tplc="CDCCAFFE" w:tentative="1">
      <w:start w:val="1"/>
      <w:numFmt w:val="decimal"/>
      <w:lvlText w:val="%4."/>
      <w:lvlJc w:val="left"/>
      <w:pPr>
        <w:ind w:left="2520" w:hanging="360"/>
      </w:pPr>
    </w:lvl>
    <w:lvl w:ilvl="4" w:tplc="185CCADE" w:tentative="1">
      <w:start w:val="1"/>
      <w:numFmt w:val="lowerLetter"/>
      <w:lvlText w:val="%5."/>
      <w:lvlJc w:val="left"/>
      <w:pPr>
        <w:ind w:left="3240" w:hanging="360"/>
      </w:pPr>
    </w:lvl>
    <w:lvl w:ilvl="5" w:tplc="1C4E2EBA" w:tentative="1">
      <w:start w:val="1"/>
      <w:numFmt w:val="lowerRoman"/>
      <w:lvlText w:val="%6."/>
      <w:lvlJc w:val="right"/>
      <w:pPr>
        <w:ind w:left="3960" w:hanging="180"/>
      </w:pPr>
    </w:lvl>
    <w:lvl w:ilvl="6" w:tplc="E8C8F3B6" w:tentative="1">
      <w:start w:val="1"/>
      <w:numFmt w:val="decimal"/>
      <w:lvlText w:val="%7."/>
      <w:lvlJc w:val="left"/>
      <w:pPr>
        <w:ind w:left="4680" w:hanging="360"/>
      </w:pPr>
    </w:lvl>
    <w:lvl w:ilvl="7" w:tplc="528C4D08" w:tentative="1">
      <w:start w:val="1"/>
      <w:numFmt w:val="lowerLetter"/>
      <w:lvlText w:val="%8."/>
      <w:lvlJc w:val="left"/>
      <w:pPr>
        <w:ind w:left="5400" w:hanging="360"/>
      </w:pPr>
    </w:lvl>
    <w:lvl w:ilvl="8" w:tplc="8138A3EE"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A1C48812">
      <w:start w:val="1"/>
      <w:numFmt w:val="decimal"/>
      <w:lvlText w:val="%1."/>
      <w:lvlJc w:val="left"/>
      <w:pPr>
        <w:tabs>
          <w:tab w:val="num" w:pos="720"/>
        </w:tabs>
        <w:ind w:left="720" w:hanging="360"/>
      </w:pPr>
      <w:rPr>
        <w:rFonts w:hint="default"/>
      </w:rPr>
    </w:lvl>
    <w:lvl w:ilvl="1" w:tplc="B05E8D42" w:tentative="1">
      <w:start w:val="1"/>
      <w:numFmt w:val="lowerLetter"/>
      <w:lvlText w:val="%2."/>
      <w:lvlJc w:val="left"/>
      <w:pPr>
        <w:tabs>
          <w:tab w:val="num" w:pos="1440"/>
        </w:tabs>
        <w:ind w:left="1440" w:hanging="360"/>
      </w:pPr>
    </w:lvl>
    <w:lvl w:ilvl="2" w:tplc="A33CB4DE" w:tentative="1">
      <w:start w:val="1"/>
      <w:numFmt w:val="lowerRoman"/>
      <w:lvlText w:val="%3."/>
      <w:lvlJc w:val="right"/>
      <w:pPr>
        <w:tabs>
          <w:tab w:val="num" w:pos="2160"/>
        </w:tabs>
        <w:ind w:left="2160" w:hanging="180"/>
      </w:pPr>
    </w:lvl>
    <w:lvl w:ilvl="3" w:tplc="20E0731C" w:tentative="1">
      <w:start w:val="1"/>
      <w:numFmt w:val="decimal"/>
      <w:lvlText w:val="%4."/>
      <w:lvlJc w:val="left"/>
      <w:pPr>
        <w:tabs>
          <w:tab w:val="num" w:pos="2880"/>
        </w:tabs>
        <w:ind w:left="2880" w:hanging="360"/>
      </w:pPr>
    </w:lvl>
    <w:lvl w:ilvl="4" w:tplc="7474E666" w:tentative="1">
      <w:start w:val="1"/>
      <w:numFmt w:val="lowerLetter"/>
      <w:lvlText w:val="%5."/>
      <w:lvlJc w:val="left"/>
      <w:pPr>
        <w:tabs>
          <w:tab w:val="num" w:pos="3600"/>
        </w:tabs>
        <w:ind w:left="3600" w:hanging="360"/>
      </w:pPr>
    </w:lvl>
    <w:lvl w:ilvl="5" w:tplc="619E4640" w:tentative="1">
      <w:start w:val="1"/>
      <w:numFmt w:val="lowerRoman"/>
      <w:lvlText w:val="%6."/>
      <w:lvlJc w:val="right"/>
      <w:pPr>
        <w:tabs>
          <w:tab w:val="num" w:pos="4320"/>
        </w:tabs>
        <w:ind w:left="4320" w:hanging="180"/>
      </w:pPr>
    </w:lvl>
    <w:lvl w:ilvl="6" w:tplc="80A499D2" w:tentative="1">
      <w:start w:val="1"/>
      <w:numFmt w:val="decimal"/>
      <w:lvlText w:val="%7."/>
      <w:lvlJc w:val="left"/>
      <w:pPr>
        <w:tabs>
          <w:tab w:val="num" w:pos="5040"/>
        </w:tabs>
        <w:ind w:left="5040" w:hanging="360"/>
      </w:pPr>
    </w:lvl>
    <w:lvl w:ilvl="7" w:tplc="BCCA30BC" w:tentative="1">
      <w:start w:val="1"/>
      <w:numFmt w:val="lowerLetter"/>
      <w:lvlText w:val="%8."/>
      <w:lvlJc w:val="left"/>
      <w:pPr>
        <w:tabs>
          <w:tab w:val="num" w:pos="5760"/>
        </w:tabs>
        <w:ind w:left="5760" w:hanging="360"/>
      </w:pPr>
    </w:lvl>
    <w:lvl w:ilvl="8" w:tplc="EF7645E6"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6DE0A954">
      <w:start w:val="1"/>
      <w:numFmt w:val="decimal"/>
      <w:lvlText w:val="%1."/>
      <w:lvlJc w:val="left"/>
      <w:pPr>
        <w:tabs>
          <w:tab w:val="num" w:pos="720"/>
        </w:tabs>
        <w:ind w:left="720" w:hanging="360"/>
      </w:pPr>
    </w:lvl>
    <w:lvl w:ilvl="1" w:tplc="8272ACE2" w:tentative="1">
      <w:start w:val="1"/>
      <w:numFmt w:val="lowerLetter"/>
      <w:lvlText w:val="%2."/>
      <w:lvlJc w:val="left"/>
      <w:pPr>
        <w:tabs>
          <w:tab w:val="num" w:pos="1440"/>
        </w:tabs>
        <w:ind w:left="1440" w:hanging="360"/>
      </w:pPr>
    </w:lvl>
    <w:lvl w:ilvl="2" w:tplc="F634CA9C" w:tentative="1">
      <w:start w:val="1"/>
      <w:numFmt w:val="lowerRoman"/>
      <w:lvlText w:val="%3."/>
      <w:lvlJc w:val="right"/>
      <w:pPr>
        <w:tabs>
          <w:tab w:val="num" w:pos="2160"/>
        </w:tabs>
        <w:ind w:left="2160" w:hanging="180"/>
      </w:pPr>
    </w:lvl>
    <w:lvl w:ilvl="3" w:tplc="4CEEDD34" w:tentative="1">
      <w:start w:val="1"/>
      <w:numFmt w:val="decimal"/>
      <w:lvlText w:val="%4."/>
      <w:lvlJc w:val="left"/>
      <w:pPr>
        <w:tabs>
          <w:tab w:val="num" w:pos="2880"/>
        </w:tabs>
        <w:ind w:left="2880" w:hanging="360"/>
      </w:pPr>
    </w:lvl>
    <w:lvl w:ilvl="4" w:tplc="9808E798" w:tentative="1">
      <w:start w:val="1"/>
      <w:numFmt w:val="lowerLetter"/>
      <w:lvlText w:val="%5."/>
      <w:lvlJc w:val="left"/>
      <w:pPr>
        <w:tabs>
          <w:tab w:val="num" w:pos="3600"/>
        </w:tabs>
        <w:ind w:left="3600" w:hanging="360"/>
      </w:pPr>
    </w:lvl>
    <w:lvl w:ilvl="5" w:tplc="7304000C" w:tentative="1">
      <w:start w:val="1"/>
      <w:numFmt w:val="lowerRoman"/>
      <w:lvlText w:val="%6."/>
      <w:lvlJc w:val="right"/>
      <w:pPr>
        <w:tabs>
          <w:tab w:val="num" w:pos="4320"/>
        </w:tabs>
        <w:ind w:left="4320" w:hanging="180"/>
      </w:pPr>
    </w:lvl>
    <w:lvl w:ilvl="6" w:tplc="2A58D62A" w:tentative="1">
      <w:start w:val="1"/>
      <w:numFmt w:val="decimal"/>
      <w:lvlText w:val="%7."/>
      <w:lvlJc w:val="left"/>
      <w:pPr>
        <w:tabs>
          <w:tab w:val="num" w:pos="5040"/>
        </w:tabs>
        <w:ind w:left="5040" w:hanging="360"/>
      </w:pPr>
    </w:lvl>
    <w:lvl w:ilvl="7" w:tplc="8BACE164" w:tentative="1">
      <w:start w:val="1"/>
      <w:numFmt w:val="lowerLetter"/>
      <w:lvlText w:val="%8."/>
      <w:lvlJc w:val="left"/>
      <w:pPr>
        <w:tabs>
          <w:tab w:val="num" w:pos="5760"/>
        </w:tabs>
        <w:ind w:left="5760" w:hanging="360"/>
      </w:pPr>
    </w:lvl>
    <w:lvl w:ilvl="8" w:tplc="4738ADC8" w:tentative="1">
      <w:start w:val="1"/>
      <w:numFmt w:val="lowerRoman"/>
      <w:lvlText w:val="%9."/>
      <w:lvlJc w:val="right"/>
      <w:pPr>
        <w:tabs>
          <w:tab w:val="num" w:pos="6480"/>
        </w:tabs>
        <w:ind w:left="6480" w:hanging="180"/>
      </w:pPr>
    </w:lvl>
  </w:abstractNum>
  <w:num w:numId="1" w16cid:durableId="2130778879">
    <w:abstractNumId w:val="4"/>
  </w:num>
  <w:num w:numId="2" w16cid:durableId="2046440098">
    <w:abstractNumId w:val="2"/>
  </w:num>
  <w:num w:numId="3" w16cid:durableId="1515798176">
    <w:abstractNumId w:val="3"/>
  </w:num>
  <w:num w:numId="4" w16cid:durableId="844248054">
    <w:abstractNumId w:val="0"/>
  </w:num>
  <w:num w:numId="5" w16cid:durableId="702748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10BC7"/>
    <w:rsid w:val="000206AE"/>
    <w:rsid w:val="00023A88"/>
    <w:rsid w:val="000636E1"/>
    <w:rsid w:val="0008352D"/>
    <w:rsid w:val="000A07CE"/>
    <w:rsid w:val="000A2C92"/>
    <w:rsid w:val="000A7238"/>
    <w:rsid w:val="000B0B21"/>
    <w:rsid w:val="000C0C23"/>
    <w:rsid w:val="000D08A9"/>
    <w:rsid w:val="000D111A"/>
    <w:rsid w:val="000F3D38"/>
    <w:rsid w:val="00107EE9"/>
    <w:rsid w:val="00110CBD"/>
    <w:rsid w:val="001357B2"/>
    <w:rsid w:val="00151388"/>
    <w:rsid w:val="00151872"/>
    <w:rsid w:val="00160E5F"/>
    <w:rsid w:val="00177E41"/>
    <w:rsid w:val="001A3BA5"/>
    <w:rsid w:val="001E1969"/>
    <w:rsid w:val="001F3B21"/>
    <w:rsid w:val="001F7BC0"/>
    <w:rsid w:val="00202A77"/>
    <w:rsid w:val="0022598E"/>
    <w:rsid w:val="00232E47"/>
    <w:rsid w:val="00254092"/>
    <w:rsid w:val="00261D99"/>
    <w:rsid w:val="00262960"/>
    <w:rsid w:val="00271B4B"/>
    <w:rsid w:val="00271CE5"/>
    <w:rsid w:val="00282020"/>
    <w:rsid w:val="00282A2F"/>
    <w:rsid w:val="00285890"/>
    <w:rsid w:val="002934F1"/>
    <w:rsid w:val="00296D93"/>
    <w:rsid w:val="00297F27"/>
    <w:rsid w:val="002A1112"/>
    <w:rsid w:val="002A4B44"/>
    <w:rsid w:val="002C7EEB"/>
    <w:rsid w:val="002F00C8"/>
    <w:rsid w:val="00304726"/>
    <w:rsid w:val="00315D82"/>
    <w:rsid w:val="00342CF8"/>
    <w:rsid w:val="0035094B"/>
    <w:rsid w:val="00352109"/>
    <w:rsid w:val="003636BF"/>
    <w:rsid w:val="00370AA7"/>
    <w:rsid w:val="00371034"/>
    <w:rsid w:val="0037479F"/>
    <w:rsid w:val="00377950"/>
    <w:rsid w:val="003828AD"/>
    <w:rsid w:val="003845B4"/>
    <w:rsid w:val="00387B1A"/>
    <w:rsid w:val="003972EF"/>
    <w:rsid w:val="003B5CF4"/>
    <w:rsid w:val="003C3B1D"/>
    <w:rsid w:val="003D0306"/>
    <w:rsid w:val="003E1C74"/>
    <w:rsid w:val="003E7E9E"/>
    <w:rsid w:val="003F4966"/>
    <w:rsid w:val="0042444D"/>
    <w:rsid w:val="004708AE"/>
    <w:rsid w:val="00484A06"/>
    <w:rsid w:val="0048588C"/>
    <w:rsid w:val="004A2490"/>
    <w:rsid w:val="004A4233"/>
    <w:rsid w:val="004A6A59"/>
    <w:rsid w:val="004B160E"/>
    <w:rsid w:val="005141E4"/>
    <w:rsid w:val="005149DF"/>
    <w:rsid w:val="005254D1"/>
    <w:rsid w:val="00525C18"/>
    <w:rsid w:val="00526246"/>
    <w:rsid w:val="005348A8"/>
    <w:rsid w:val="0055206D"/>
    <w:rsid w:val="00555CB0"/>
    <w:rsid w:val="00560209"/>
    <w:rsid w:val="00567106"/>
    <w:rsid w:val="005709F2"/>
    <w:rsid w:val="005916E5"/>
    <w:rsid w:val="005B0438"/>
    <w:rsid w:val="005D7092"/>
    <w:rsid w:val="005E1D3C"/>
    <w:rsid w:val="005F0CBB"/>
    <w:rsid w:val="00602F1B"/>
    <w:rsid w:val="00611A9F"/>
    <w:rsid w:val="006268BE"/>
    <w:rsid w:val="00632253"/>
    <w:rsid w:val="00642714"/>
    <w:rsid w:val="00643C4E"/>
    <w:rsid w:val="006455CE"/>
    <w:rsid w:val="00696B6F"/>
    <w:rsid w:val="006D42D9"/>
    <w:rsid w:val="006F142E"/>
    <w:rsid w:val="00726463"/>
    <w:rsid w:val="00733017"/>
    <w:rsid w:val="00751D38"/>
    <w:rsid w:val="00775FED"/>
    <w:rsid w:val="00783310"/>
    <w:rsid w:val="00794B95"/>
    <w:rsid w:val="00794E63"/>
    <w:rsid w:val="007A4A6D"/>
    <w:rsid w:val="007D1BCF"/>
    <w:rsid w:val="007D686C"/>
    <w:rsid w:val="007D75CF"/>
    <w:rsid w:val="007E6DC5"/>
    <w:rsid w:val="0088043C"/>
    <w:rsid w:val="008906C9"/>
    <w:rsid w:val="008A5918"/>
    <w:rsid w:val="008B2E72"/>
    <w:rsid w:val="008C00F2"/>
    <w:rsid w:val="008C5738"/>
    <w:rsid w:val="008D04F0"/>
    <w:rsid w:val="008E2D84"/>
    <w:rsid w:val="008F3500"/>
    <w:rsid w:val="009022B3"/>
    <w:rsid w:val="00924E3C"/>
    <w:rsid w:val="00925A8B"/>
    <w:rsid w:val="009612BB"/>
    <w:rsid w:val="0096792B"/>
    <w:rsid w:val="009870F8"/>
    <w:rsid w:val="009A6D12"/>
    <w:rsid w:val="009B0295"/>
    <w:rsid w:val="009C2E0C"/>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05DE"/>
    <w:rsid w:val="00AC5C16"/>
    <w:rsid w:val="00AD5A5B"/>
    <w:rsid w:val="00AE1792"/>
    <w:rsid w:val="00B011EA"/>
    <w:rsid w:val="00B17141"/>
    <w:rsid w:val="00B31575"/>
    <w:rsid w:val="00B370B6"/>
    <w:rsid w:val="00B5309B"/>
    <w:rsid w:val="00B628FD"/>
    <w:rsid w:val="00B63BD4"/>
    <w:rsid w:val="00B653A6"/>
    <w:rsid w:val="00B677B6"/>
    <w:rsid w:val="00B8547D"/>
    <w:rsid w:val="00B951C8"/>
    <w:rsid w:val="00BC2517"/>
    <w:rsid w:val="00BC61EF"/>
    <w:rsid w:val="00BE423F"/>
    <w:rsid w:val="00C250D5"/>
    <w:rsid w:val="00C47F8D"/>
    <w:rsid w:val="00C52DAE"/>
    <w:rsid w:val="00C57EED"/>
    <w:rsid w:val="00C6063F"/>
    <w:rsid w:val="00C655BE"/>
    <w:rsid w:val="00C81391"/>
    <w:rsid w:val="00C8217D"/>
    <w:rsid w:val="00C92898"/>
    <w:rsid w:val="00C97222"/>
    <w:rsid w:val="00CA28CB"/>
    <w:rsid w:val="00CD0CDC"/>
    <w:rsid w:val="00CE7514"/>
    <w:rsid w:val="00CF1688"/>
    <w:rsid w:val="00CF3DFC"/>
    <w:rsid w:val="00D109A0"/>
    <w:rsid w:val="00D248DE"/>
    <w:rsid w:val="00D25427"/>
    <w:rsid w:val="00D31B74"/>
    <w:rsid w:val="00D3564D"/>
    <w:rsid w:val="00D71B1F"/>
    <w:rsid w:val="00D8542D"/>
    <w:rsid w:val="00DB11E1"/>
    <w:rsid w:val="00DB4E6F"/>
    <w:rsid w:val="00DC62F6"/>
    <w:rsid w:val="00DC6A71"/>
    <w:rsid w:val="00DD6CC3"/>
    <w:rsid w:val="00DE5B46"/>
    <w:rsid w:val="00E0357D"/>
    <w:rsid w:val="00E24EC2"/>
    <w:rsid w:val="00E51C0F"/>
    <w:rsid w:val="00E557C9"/>
    <w:rsid w:val="00E8201C"/>
    <w:rsid w:val="00E94ECF"/>
    <w:rsid w:val="00EC4BB6"/>
    <w:rsid w:val="00ED00D1"/>
    <w:rsid w:val="00ED7E82"/>
    <w:rsid w:val="00EF3280"/>
    <w:rsid w:val="00F0025B"/>
    <w:rsid w:val="00F02E53"/>
    <w:rsid w:val="00F12F7D"/>
    <w:rsid w:val="00F165AD"/>
    <w:rsid w:val="00F240BB"/>
    <w:rsid w:val="00F42CE8"/>
    <w:rsid w:val="00F46724"/>
    <w:rsid w:val="00F47F58"/>
    <w:rsid w:val="00F57FED"/>
    <w:rsid w:val="00F65EF1"/>
    <w:rsid w:val="00F77DAC"/>
    <w:rsid w:val="00F92FFA"/>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D2626B"/>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Sprotnaopomba-besedilo">
    <w:name w:val="footnote text"/>
    <w:basedOn w:val="Navaden"/>
    <w:link w:val="Sprotnaopomba-besediloZnak"/>
    <w:semiHidden/>
    <w:unhideWhenUsed/>
    <w:rsid w:val="00D71B1F"/>
    <w:pPr>
      <w:spacing w:line="240" w:lineRule="auto"/>
    </w:pPr>
    <w:rPr>
      <w:szCs w:val="20"/>
    </w:rPr>
  </w:style>
  <w:style w:type="character" w:customStyle="1" w:styleId="Sprotnaopomba-besediloZnak">
    <w:name w:val="Sprotna opomba - besedilo Znak"/>
    <w:basedOn w:val="Privzetapisavaodstavka"/>
    <w:link w:val="Sprotnaopomba-besedilo"/>
    <w:semiHidden/>
    <w:rsid w:val="00D71B1F"/>
    <w:rPr>
      <w:rFonts w:ascii="Arial" w:hAnsi="Arial"/>
      <w:lang w:val="en-US" w:eastAsia="en-US"/>
    </w:rPr>
  </w:style>
  <w:style w:type="character" w:styleId="Sprotnaopomba-sklic">
    <w:name w:val="footnote reference"/>
    <w:basedOn w:val="Privzetapisavaodstavka"/>
    <w:semiHidden/>
    <w:unhideWhenUsed/>
    <w:rsid w:val="00D7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ation-customs.ec.europa.eu/customs-4/international-affairs/origin-goods/general-aspects-preferential-origin/common-provisions_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SL/TXT/?uri=uriserv%3AOJ.C_.2023.051.01.0001.01.SLV&amp;toc=OJ%3AC%3A2023%3A051%3AT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ation-customs.ec.europa.eu/customs-4/international-affairs/pan-euro-mediterranean-cumulation-and-pem-convention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SL/TXT/?uri=uriserv%3AOJ.C_.2021.418.01.0024.01.SLV&amp;toc=OJ%3AC%3A2021%3A418%3AT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SL/TXT/?uri=uriserv:OJ.L_.2013.054.01.0003.01.SLV&amp;toc=OJ:L:2013:054:T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4</Pages>
  <Words>2293</Words>
  <Characters>13073</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FURS</cp:lastModifiedBy>
  <cp:revision>2</cp:revision>
  <cp:lastPrinted>2023-06-16T07:52:00Z</cp:lastPrinted>
  <dcterms:created xsi:type="dcterms:W3CDTF">2023-06-16T08:20:00Z</dcterms:created>
  <dcterms:modified xsi:type="dcterms:W3CDTF">2023-06-16T08:20:00Z</dcterms:modified>
</cp:coreProperties>
</file>