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F6FFB" w14:textId="77777777" w:rsidR="00B679D9" w:rsidRPr="0064011B" w:rsidRDefault="00B679D9" w:rsidP="00DC6A71">
      <w:pPr>
        <w:pStyle w:val="datumtevilka"/>
      </w:pPr>
    </w:p>
    <w:p w14:paraId="6B36B232" w14:textId="496454E4" w:rsidR="0064011B" w:rsidRPr="00BC2517" w:rsidRDefault="0064011B" w:rsidP="007D75CF">
      <w:pPr>
        <w:rPr>
          <w:lang w:val="sl-SI"/>
        </w:rPr>
      </w:pPr>
    </w:p>
    <w:p w14:paraId="6B36B234" w14:textId="52181624" w:rsidR="0064011B" w:rsidRDefault="0064011B" w:rsidP="0064011B">
      <w:pPr>
        <w:rPr>
          <w:lang w:val="sl-SI"/>
        </w:rPr>
      </w:pPr>
    </w:p>
    <w:p w14:paraId="04AC2B18" w14:textId="4AA47764" w:rsidR="00806839" w:rsidRPr="00806839" w:rsidRDefault="00806839" w:rsidP="00806839">
      <w:pPr>
        <w:spacing w:after="150" w:line="240" w:lineRule="auto"/>
        <w:rPr>
          <w:rFonts w:cs="Arial"/>
          <w:color w:val="444444"/>
          <w:szCs w:val="20"/>
          <w:lang w:val="sl-SI" w:eastAsia="sl-SI"/>
        </w:rPr>
      </w:pPr>
      <w:r w:rsidRPr="00806839">
        <w:rPr>
          <w:rFonts w:cs="Arial"/>
          <w:b/>
          <w:bCs/>
          <w:color w:val="444444"/>
          <w:szCs w:val="20"/>
          <w:lang w:val="sl-SI" w:eastAsia="sl-SI"/>
        </w:rPr>
        <w:t xml:space="preserve">Pojasnilo </w:t>
      </w:r>
      <w:r w:rsidR="007B7DB7">
        <w:rPr>
          <w:rFonts w:cs="Arial"/>
          <w:b/>
          <w:bCs/>
          <w:color w:val="444444"/>
          <w:szCs w:val="20"/>
          <w:lang w:val="sl-SI" w:eastAsia="sl-SI"/>
        </w:rPr>
        <w:t xml:space="preserve">o </w:t>
      </w:r>
      <w:bookmarkStart w:id="0" w:name="_GoBack"/>
      <w:bookmarkEnd w:id="0"/>
      <w:r w:rsidRPr="00806839">
        <w:rPr>
          <w:rFonts w:cs="Arial"/>
          <w:b/>
          <w:bCs/>
          <w:color w:val="444444"/>
          <w:szCs w:val="20"/>
          <w:lang w:val="sl-SI" w:eastAsia="sl-SI"/>
        </w:rPr>
        <w:t>uvrščanju monitorjev v kombinirano nomenklaturo</w:t>
      </w:r>
    </w:p>
    <w:p w14:paraId="5BFDFD40" w14:textId="7F6FF4E9" w:rsidR="00806839" w:rsidRDefault="00806839" w:rsidP="00806839">
      <w:pPr>
        <w:spacing w:after="150" w:line="240" w:lineRule="auto"/>
        <w:jc w:val="both"/>
        <w:rPr>
          <w:rFonts w:cs="Arial"/>
          <w:color w:val="444444"/>
          <w:szCs w:val="20"/>
          <w:lang w:val="sl-SI" w:eastAsia="sl-SI"/>
        </w:rPr>
      </w:pPr>
    </w:p>
    <w:p w14:paraId="05139B37" w14:textId="6697903D" w:rsidR="00806839" w:rsidRPr="00806839" w:rsidRDefault="00806839" w:rsidP="00806839">
      <w:pPr>
        <w:spacing w:after="150" w:line="240" w:lineRule="auto"/>
        <w:jc w:val="both"/>
        <w:rPr>
          <w:rFonts w:cs="Arial"/>
          <w:color w:val="444444"/>
          <w:szCs w:val="20"/>
          <w:lang w:val="sl-SI" w:eastAsia="sl-SI"/>
        </w:rPr>
      </w:pPr>
      <w:r>
        <w:rPr>
          <w:rFonts w:cs="Arial"/>
          <w:color w:val="444444"/>
          <w:szCs w:val="20"/>
          <w:lang w:val="sl-SI" w:eastAsia="sl-SI"/>
        </w:rPr>
        <w:t xml:space="preserve">Pojasnilo FURS </w:t>
      </w:r>
      <w:r w:rsidR="00F61EAD">
        <w:rPr>
          <w:rFonts w:cs="Arial"/>
          <w:color w:val="444444"/>
          <w:szCs w:val="20"/>
          <w:lang w:val="sl-SI" w:eastAsia="sl-SI"/>
        </w:rPr>
        <w:t xml:space="preserve">št. </w:t>
      </w:r>
      <w:r>
        <w:rPr>
          <w:rFonts w:cs="Arial"/>
          <w:color w:val="444444"/>
          <w:szCs w:val="20"/>
          <w:lang w:val="sl-SI" w:eastAsia="sl-SI"/>
        </w:rPr>
        <w:t>4245-221/2021 z dne 25. 5. 2021</w:t>
      </w:r>
    </w:p>
    <w:p w14:paraId="39E96FAB"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4B6DD0C8"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Z namenom enotnega uvrščanja v kombinirano nomenklaturo (KN) pojasnjujemo, kako se pravilno uvršča  različne vrste monitorjev.</w:t>
      </w:r>
    </w:p>
    <w:p w14:paraId="4EEF647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0ED3072"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praksi se srečujemo z izrazi kot so monitor, modul, zaslon in prikazovalnik, ki opisujejo različne izdelke. Monitor je samostojni izdelek v ohišju pripravljen za uporabo, modul pa se lahko kot del, vgradi v monitor ali pa se iz več modulov sestavi večji monitor. Zaslon je lahko del, ki se vgradi v monitor, modul, prikazovalnik ali stroj.</w:t>
      </w:r>
    </w:p>
    <w:p w14:paraId="366866BF"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E3A855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Na tržišču je veliko monitorjev, ki lahko delujejo s stroji za avtomatsko obdelavo podatkov (AOP) zato želimo pojasniti, kako so le ti definirani v KN. Z izrazom »stroji za avtomatsko obdelavo podatkov« iz tarifne številke 8471 so v skladu z opombo 5. A. k 84. poglavju KN mišljeni stroji:</w:t>
      </w:r>
    </w:p>
    <w:p w14:paraId="061AB0FB" w14:textId="77777777" w:rsidR="00806839" w:rsidRPr="00806839" w:rsidRDefault="00806839" w:rsidP="00806839">
      <w:pPr>
        <w:numPr>
          <w:ilvl w:val="0"/>
          <w:numId w:val="6"/>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ki si lahko zapomnijo enega ali več programov obdelave in najmanj podatke, ki so takoj potrebni za izvršitev programa;</w:t>
      </w:r>
    </w:p>
    <w:p w14:paraId="49043425" w14:textId="77777777" w:rsidR="00806839" w:rsidRPr="00806839" w:rsidRDefault="00806839" w:rsidP="00806839">
      <w:pPr>
        <w:numPr>
          <w:ilvl w:val="0"/>
          <w:numId w:val="6"/>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ki se lahko prosto programirajo v skladu s potrebami uporabnika;</w:t>
      </w:r>
    </w:p>
    <w:p w14:paraId="41515AAA" w14:textId="77777777" w:rsidR="00806839" w:rsidRPr="00806839" w:rsidRDefault="00806839" w:rsidP="00806839">
      <w:pPr>
        <w:numPr>
          <w:ilvl w:val="0"/>
          <w:numId w:val="6"/>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ki lahko izvajajo aritmetične operacije, ki jih je določil uporabnik, in</w:t>
      </w:r>
    </w:p>
    <w:p w14:paraId="691002D3" w14:textId="77777777" w:rsidR="00806839" w:rsidRPr="00806839" w:rsidRDefault="00806839" w:rsidP="00806839">
      <w:pPr>
        <w:numPr>
          <w:ilvl w:val="0"/>
          <w:numId w:val="6"/>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ki lahko brez posredovanja človeka izvršujejo program obdelave, ki od njih zahteva, da modificirajo potek obdelave z logično odločitvijo med potekom obdelave.</w:t>
      </w:r>
    </w:p>
    <w:p w14:paraId="2649350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6184990C"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skladu z opombo 5. B. k 84. poglavju so stroji za AOP lahko v obliki sistemov, ki so sestavljeni iz spremenljivega števila posameznih enot. V opombi 5. C. k 84. poglavju se upoštevajo enote kot del sistema za obdelavo podatkov, če izpolnjujejo vse naslednje pogoje:</w:t>
      </w:r>
    </w:p>
    <w:p w14:paraId="36F04816" w14:textId="77777777" w:rsidR="00806839" w:rsidRPr="00806839" w:rsidRDefault="00806839" w:rsidP="00806839">
      <w:pPr>
        <w:numPr>
          <w:ilvl w:val="0"/>
          <w:numId w:val="7"/>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morajo biti take vrste, da se samo ali zlasti uporablja v strojih za avtomatsko obdelavo podatkov AOP;</w:t>
      </w:r>
    </w:p>
    <w:p w14:paraId="3B0A4EF5" w14:textId="77777777" w:rsidR="00806839" w:rsidRPr="00806839" w:rsidRDefault="00806839" w:rsidP="00806839">
      <w:pPr>
        <w:numPr>
          <w:ilvl w:val="0"/>
          <w:numId w:val="7"/>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da jih je mogoče povezati s centralno enoto za obdelavo, neposredno ali po eni ali več drugih enotah, in</w:t>
      </w:r>
    </w:p>
    <w:p w14:paraId="1583D41D" w14:textId="77777777" w:rsidR="00806839" w:rsidRPr="00806839" w:rsidRDefault="00806839" w:rsidP="00806839">
      <w:pPr>
        <w:numPr>
          <w:ilvl w:val="0"/>
          <w:numId w:val="7"/>
        </w:numPr>
        <w:spacing w:before="100" w:beforeAutospacing="1" w:after="100" w:afterAutospacing="1" w:line="240" w:lineRule="auto"/>
        <w:rPr>
          <w:rFonts w:cs="Arial"/>
          <w:color w:val="444444"/>
          <w:szCs w:val="20"/>
          <w:lang w:val="sl-SI" w:eastAsia="sl-SI"/>
        </w:rPr>
      </w:pPr>
      <w:r w:rsidRPr="00806839">
        <w:rPr>
          <w:rFonts w:cs="Arial"/>
          <w:color w:val="444444"/>
          <w:szCs w:val="20"/>
          <w:lang w:val="sl-SI" w:eastAsia="sl-SI"/>
        </w:rPr>
        <w:t>da so sposobne sprejeti ali oddati podatke v obliki šifre ali signala, ki je uporabna za sistem.</w:t>
      </w:r>
    </w:p>
    <w:p w14:paraId="7D6D1E78"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E36DBCD"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Primeri takih strojev so osebni računalnik, prenosni računalnik ali tablica.</w:t>
      </w:r>
    </w:p>
    <w:p w14:paraId="799B2B33"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0D53AA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Pri tem je treba upoštevati tudi besedilo opombe 5. E. k 84. poglavju, ki se glasi: Stroji, drugačni od strojev za AOP, ki so konstruirani za opravljanje specifične funkcije, imajo pa vgrajen AOP ali pa </w:t>
      </w:r>
      <w:r w:rsidRPr="00806839">
        <w:rPr>
          <w:rFonts w:cs="Arial"/>
          <w:color w:val="444444"/>
          <w:szCs w:val="20"/>
          <w:lang w:val="sl-SI" w:eastAsia="sl-SI"/>
        </w:rPr>
        <w:lastRenderedPageBreak/>
        <w:t>delujejo v povezavi s stroji za AOP, se uvrščajo pod tarifno številko stroja, ki ustreza njihovi specifični funkciji, ali, če to ni mogoče, pod preostale tarifne številke.</w:t>
      </w:r>
    </w:p>
    <w:p w14:paraId="1F385E68"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08A7CAB"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Primeri takih strojev so npr. CNC stroji, pametni telefoni, naprave za krmiljenje, instrumenti in aparati iz 90. poglavja.</w:t>
      </w:r>
    </w:p>
    <w:p w14:paraId="6BDD917F"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2E23AC20"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kolikor uvoznik ne more nedvoumno dokazati, da je monitor namenjen samo za uporabo s strojem za avtomatsko obdelavo podatkov AOP ali kot indikatorska plošča iz tarifne številke 8531 se mora, skladno s stališčem sprejetim na 346. sestanku, dne 30. 06. 2004, Odbora za carinski zakonik (Oddelek za tarifno in statistično nomenklaturo - mehanika/mešano), uvrstiti pod tarifno številko 8528, kot monitor, ki nima vgrajenega televizijskega sprejemnika.</w:t>
      </w:r>
    </w:p>
    <w:p w14:paraId="298F0C30"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6FD348A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1. Zasloni, ki prestavljajo dele strojev iz XVI. oddelka se uvrščajo skladno z opombo 2 k temu oddelku in morajo imeti specifične lastnosti, ki omogočajo, da so prepoznavni kot primerni samo ali zlasti za vgradnjo v posamezne stroje. Strojno in programsko morajo biti prilagojeni za delovanje samo s temi stroji. Po navadi nimajo lastnega ohišja ali pa je to primerno za vgradnjo v točno določen stroj.</w:t>
      </w:r>
    </w:p>
    <w:p w14:paraId="1796355D"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889E169"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opombi 2 (b) in (c) k XVI. oddelku pojasnjevalnih opomb HS so navedena pravila kako se uvrščajo zasloni, ki predstavljajo dele strojev iz 84. ali 85. poglavja KN. Tako je na primer treba zaslone primerne za vgradnjo v izdelke iz tarifnih številk 8525 do 8528 in mobilne telefone iz tarifne številke 8517 uvrstiti, skladno z opombo 2 b k XVI. oddelku, kot dele mobilnih telefonov pod tarifno podštevilko HS 8517 70. Module občutljive ali ne na dotik, ki so primerni za vgradnjo v različne stroje iz XVI. oddelka pa je potrebno skladno z opombo 2 (c) k XVI. oddelku uvrstiti pod tarifno oznako KN 8548 90 90 (glej izvedbeno uredbo (EU) o uvrstitvi določenega blaga v KN številka 275/2013 in uredbo Komisije (ES) številka 957/2006).</w:t>
      </w:r>
    </w:p>
    <w:p w14:paraId="5C9974ED"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062784A3"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Opomba 2 (b) k 90. poglavju določa, da je monitorje, ki so prepoznavni kot deli strojev iz 90. poglavja, potrebno uvrstiti skupaj s temi stroji. Tako je na primer monitor, primeren samo za vgradnjo v optični oftalmološki aparat treba uvrstiti pod tarifno oznako KN 9018 50 90.</w:t>
      </w:r>
    </w:p>
    <w:p w14:paraId="3518213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9BEA65F"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2. Monitorji, ki nimajo vgrajenega televizijskega sprejemnika</w:t>
      </w:r>
      <w:hyperlink r:id="rId8" w:anchor="_ftn1" w:history="1">
        <w:r w:rsidRPr="00806839">
          <w:rPr>
            <w:rFonts w:cs="Arial"/>
            <w:color w:val="00ABA9"/>
            <w:szCs w:val="20"/>
            <w:lang w:val="sl-SI" w:eastAsia="sl-SI"/>
          </w:rPr>
          <w:t>[1]</w:t>
        </w:r>
      </w:hyperlink>
      <w:r w:rsidRPr="00806839">
        <w:rPr>
          <w:rFonts w:cs="Arial"/>
          <w:color w:val="444444"/>
          <w:szCs w:val="20"/>
          <w:lang w:val="sl-SI" w:eastAsia="sl-SI"/>
        </w:rPr>
        <w:t> in niso deli strojev omenjenih v prejšnjih točkah pa se uvrščajo pod tarifno številko 8528. Tukaj se na prvi stopnji razčlenitve ločijo na takšne s katodno cevjo (tarifni oznaki KN 8528 42 00 in 8528 49 00)  in druge monitorje.</w:t>
      </w:r>
    </w:p>
    <w:p w14:paraId="22018C97"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307B3CEC"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a. Pod tarifno podštevilko HS 8528 52 se uvrščajo monitorji, ki jih je mogoče neposredno priključiti na stroje za AOP iz tarifne številke 8471 in ki so zasnovani za uporabo s temi stroji. Ta skupina vključuje monitorje, ki lahko sprejmejo signal iz centralne procesne enote naprave za avtomatsko obdelavo podatkov in zagotovijo grafično predstavitev obdelanih podatkov. Ti monitorji se razlikujejo od drugih vrst monitorjev (glej spodaj) in od televizijskih sprejemnikov ter imajo  naslednje značilnosti, ki so navedene pod točko (A) v pojasnjevalnih opombah HS k tarifni številki 8528:</w:t>
      </w:r>
    </w:p>
    <w:p w14:paraId="02DCE8D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(i) </w:t>
      </w:r>
      <w:proofErr w:type="spellStart"/>
      <w:r w:rsidRPr="00806839">
        <w:rPr>
          <w:rFonts w:cs="Arial"/>
          <w:color w:val="444444"/>
          <w:szCs w:val="20"/>
          <w:lang w:val="sl-SI" w:eastAsia="sl-SI"/>
        </w:rPr>
        <w:t>ponavadi</w:t>
      </w:r>
      <w:proofErr w:type="spellEnd"/>
      <w:r w:rsidRPr="00806839">
        <w:rPr>
          <w:rFonts w:cs="Arial"/>
          <w:color w:val="444444"/>
          <w:szCs w:val="20"/>
          <w:lang w:val="sl-SI" w:eastAsia="sl-SI"/>
        </w:rPr>
        <w:t xml:space="preserve"> prikazujejo signale grafičnih kartic (enobarvne ali barvne), ki so integrirane v centralno procesno enoto naprave za avtomatsko obdelavo podatkov;</w:t>
      </w:r>
    </w:p>
    <w:p w14:paraId="6FDCBE3E"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(ii) ne vsebujejo </w:t>
      </w:r>
      <w:proofErr w:type="spellStart"/>
      <w:r w:rsidRPr="00806839">
        <w:rPr>
          <w:rFonts w:cs="Arial"/>
          <w:color w:val="444444"/>
          <w:szCs w:val="20"/>
          <w:lang w:val="sl-SI" w:eastAsia="sl-SI"/>
        </w:rPr>
        <w:t>izbirnika</w:t>
      </w:r>
      <w:proofErr w:type="spellEnd"/>
      <w:r w:rsidRPr="00806839">
        <w:rPr>
          <w:rFonts w:cs="Arial"/>
          <w:color w:val="444444"/>
          <w:szCs w:val="20"/>
          <w:lang w:val="sl-SI" w:eastAsia="sl-SI"/>
        </w:rPr>
        <w:t xml:space="preserve"> kanalov ali video tunerja;</w:t>
      </w:r>
    </w:p>
    <w:p w14:paraId="027B375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(iii) so opremljeni s konektorji, značilnimi za sisteme za obdelavo podatkov (npr. vmesnik RS-232C, priključki DIN, D-SUB, VGA, DVI, HDMI ali DP );</w:t>
      </w:r>
    </w:p>
    <w:p w14:paraId="4C066429"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(iv) velikost zaslona teh monitorjev na splošno ne presega 76 cm (30 palcev);</w:t>
      </w:r>
    </w:p>
    <w:p w14:paraId="2C3D6026"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imajo velikost pike (običajno manjša od 0,3 mm) primerno za gledanje od blizu;</w:t>
      </w:r>
    </w:p>
    <w:p w14:paraId="499E67D2"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lastRenderedPageBreak/>
        <w:t xml:space="preserve">(vi) imajo lahko avdio vezje in vgrajene zvočnike (na splošno 2 </w:t>
      </w:r>
      <w:proofErr w:type="spellStart"/>
      <w:r w:rsidRPr="00806839">
        <w:rPr>
          <w:rFonts w:cs="Arial"/>
          <w:color w:val="444444"/>
          <w:szCs w:val="20"/>
          <w:lang w:val="sl-SI" w:eastAsia="sl-SI"/>
        </w:rPr>
        <w:t>wata</w:t>
      </w:r>
      <w:proofErr w:type="spellEnd"/>
      <w:r w:rsidRPr="00806839">
        <w:rPr>
          <w:rFonts w:cs="Arial"/>
          <w:color w:val="444444"/>
          <w:szCs w:val="20"/>
          <w:lang w:val="sl-SI" w:eastAsia="sl-SI"/>
        </w:rPr>
        <w:t xml:space="preserve"> ali manj);</w:t>
      </w:r>
    </w:p>
    <w:p w14:paraId="5D01D13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(vii) običajno imajo krmilne gumbe na sprednji plošči;</w:t>
      </w:r>
    </w:p>
    <w:p w14:paraId="29C3CA0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(viii) običajno jih ni mogoče upravljati z daljinskim upravljalnikom;</w:t>
      </w:r>
    </w:p>
    <w:p w14:paraId="5729437B"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(ix) lahko vključujejo mehanizme nagiba, vrtenja in višine, imajo </w:t>
      </w:r>
      <w:proofErr w:type="spellStart"/>
      <w:r w:rsidRPr="00806839">
        <w:rPr>
          <w:rFonts w:cs="Arial"/>
          <w:color w:val="444444"/>
          <w:szCs w:val="20"/>
          <w:lang w:val="sl-SI" w:eastAsia="sl-SI"/>
        </w:rPr>
        <w:t>nebleščečo</w:t>
      </w:r>
      <w:proofErr w:type="spellEnd"/>
      <w:r w:rsidRPr="00806839">
        <w:rPr>
          <w:rFonts w:cs="Arial"/>
          <w:color w:val="444444"/>
          <w:szCs w:val="20"/>
          <w:lang w:val="sl-SI" w:eastAsia="sl-SI"/>
        </w:rPr>
        <w:t xml:space="preserve"> površino, zaslon brez utripanja in druge ergonomske oblikovnih značilnosti, ki omogočajo daljše časovno gledanje iz neposredne bližine monitorja;</w:t>
      </w:r>
    </w:p>
    <w:p w14:paraId="650EAB96"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(x) za prikaz podatkov iz naprave za avtomatsko obdelavo podatkov iz tar. št. 8471 lahko uporabljajo brezžični komunikacijski protokol.</w:t>
      </w:r>
    </w:p>
    <w:p w14:paraId="7ED97487"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758537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Navedenih pojasnjevalnih opomb HS ni mogoče razlagati tako, da so značilnosti naštete od (i) do (x) absolutna zahteva, ker bi to pomenilo, da te pojasnjevalne opombe HS spreminjajo obseg tarifnih podštevilk KN</w:t>
      </w:r>
      <w:hyperlink r:id="rId9" w:anchor="_ftn2" w:history="1">
        <w:r w:rsidRPr="00806839">
          <w:rPr>
            <w:rFonts w:cs="Arial"/>
            <w:color w:val="00ABA9"/>
            <w:szCs w:val="20"/>
            <w:lang w:val="sl-SI" w:eastAsia="sl-SI"/>
          </w:rPr>
          <w:t>[2]</w:t>
        </w:r>
      </w:hyperlink>
      <w:r w:rsidRPr="00806839">
        <w:rPr>
          <w:rFonts w:cs="Arial"/>
          <w:color w:val="444444"/>
          <w:szCs w:val="20"/>
          <w:lang w:val="sl-SI" w:eastAsia="sl-SI"/>
        </w:rPr>
        <w:t>.</w:t>
      </w:r>
    </w:p>
    <w:p w14:paraId="12877A0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260A75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Pri uvrščanju monitorjev pod tarifno podštevilko HS 8528 52 je pomemben element tudi možnost za delo z monitorjem od blizu, ki ga je treba upoštevati, vendar pa ta element sam po sebi ne more biti odločilen</w:t>
      </w:r>
      <w:hyperlink r:id="rId10" w:anchor="_ftn3" w:history="1">
        <w:r w:rsidRPr="00806839">
          <w:rPr>
            <w:rFonts w:cs="Arial"/>
            <w:color w:val="00ABA9"/>
            <w:szCs w:val="20"/>
            <w:lang w:val="sl-SI" w:eastAsia="sl-SI"/>
          </w:rPr>
          <w:t>[3]</w:t>
        </w:r>
      </w:hyperlink>
      <w:r w:rsidRPr="00806839">
        <w:rPr>
          <w:rFonts w:cs="Arial"/>
          <w:color w:val="444444"/>
          <w:szCs w:val="20"/>
          <w:lang w:val="sl-SI" w:eastAsia="sl-SI"/>
        </w:rPr>
        <w:t>.</w:t>
      </w:r>
    </w:p>
    <w:p w14:paraId="00FFD3A7"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1675FA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skladu z Izvedbeno uredbo Komisije (EU) številka 310/2014 in korelacijskimi tabelami 2016/2017, se pod tarifno podštevilko HS 8528 52 10 uvršča monitor z diagonalo 48 cm in stojalom, ki omogoča nagibanje. Za uvrstitev pod to tarifno podštevilko so pomembne značilnosti, kot so ločljivost, podprte ločljivosti, razmerje prikaza, velikost slikovne pike, ki je primerna za daljše gledanje od blizu, svetlost, vmesniki ter da se običajno uporabljajo v sistemih za AOP. Te značilnosti določajo, da je takšen monitor primeren za uporabo v sistemih za AOP iz tarifne številke 8471.</w:t>
      </w:r>
    </w:p>
    <w:p w14:paraId="25CD1CB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48D2E9A6"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V Izvedbeni uredbi Komisije (EU) številka 111/2014 so za monitor, občutljiv na dotik z diagonalo 38 cm in stojalom, navedene objektivne značilnosti, kot je sorazmerje prikaza, velikost slikovnih pik, primernost za dolgotrajno gledanje od blizu, svetlost, vmesniki, ki se običajno uporabljajo v sistemih za AOP, mehanizem, ki omogoča nagibanje in vrtenje ter </w:t>
      </w:r>
      <w:proofErr w:type="spellStart"/>
      <w:r w:rsidRPr="00806839">
        <w:rPr>
          <w:rFonts w:cs="Arial"/>
          <w:color w:val="444444"/>
          <w:szCs w:val="20"/>
          <w:lang w:val="sl-SI" w:eastAsia="sl-SI"/>
        </w:rPr>
        <w:t>nesijoča</w:t>
      </w:r>
      <w:proofErr w:type="spellEnd"/>
      <w:r w:rsidRPr="00806839">
        <w:rPr>
          <w:rFonts w:cs="Arial"/>
          <w:color w:val="444444"/>
          <w:szCs w:val="20"/>
          <w:lang w:val="sl-SI" w:eastAsia="sl-SI"/>
        </w:rPr>
        <w:t xml:space="preserve"> površina. Takšen monitor se šteje kot primeren samo ali zlasti za uporabo v sistemu za AOP iz tarifne številke 8471 zato se v skladu s korelacijskimi tabelami 2016/2017 uvršča pod tarifno podštevilko HS 8528 52 10.</w:t>
      </w:r>
    </w:p>
    <w:p w14:paraId="5E5A715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4EBB60B0"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Nadalje se tarifna podštevilka HS 8528 52 deli na tri tarifne oznake KN.</w:t>
      </w:r>
    </w:p>
    <w:p w14:paraId="0579155C"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11352099"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Pod tarifno oznako </w:t>
      </w:r>
      <w:r w:rsidRPr="00806839">
        <w:rPr>
          <w:rFonts w:cs="Arial"/>
          <w:b/>
          <w:bCs/>
          <w:color w:val="444444"/>
          <w:szCs w:val="20"/>
          <w:lang w:val="sl-SI" w:eastAsia="sl-SI"/>
        </w:rPr>
        <w:t>KN 8528 52 10</w:t>
      </w:r>
      <w:r w:rsidRPr="00806839">
        <w:rPr>
          <w:rFonts w:cs="Arial"/>
          <w:color w:val="444444"/>
          <w:szCs w:val="20"/>
          <w:lang w:val="sl-SI" w:eastAsia="sl-SI"/>
        </w:rPr>
        <w:t> se uvrščajo monitorji namenjeni samo ali zlasti za uporabo v sistemu za AOP iz tar. št. 8471. V sodbi sodišča EU C-367/07 je pojasnjen izraz »zlasti«, ki se nanaša na njegov najpogostejši namen, zato je treba preveriti, katera je »značilna« ali »običajna« uporaba monitorja.</w:t>
      </w:r>
    </w:p>
    <w:p w14:paraId="3E304D92"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E1CB886"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Pri tem je treba upoštevati tudi objektivne lastnosti proizvoda, kot so npr. ločljivost, format (razmerje med širino in višino zaslona), velikost slikovnih pik (primerno za dolgotrajno gledanje od blizu), vmesniki, ki se običajno uporabljajo v sistemih za AOP, svetlost, mehanizem, ki omogoča nagibanje in vrtenje, </w:t>
      </w:r>
      <w:proofErr w:type="spellStart"/>
      <w:r w:rsidRPr="00806839">
        <w:rPr>
          <w:rFonts w:cs="Arial"/>
          <w:color w:val="444444"/>
          <w:szCs w:val="20"/>
          <w:lang w:val="sl-SI" w:eastAsia="sl-SI"/>
        </w:rPr>
        <w:t>nesijoča</w:t>
      </w:r>
      <w:proofErr w:type="spellEnd"/>
      <w:r w:rsidRPr="00806839">
        <w:rPr>
          <w:rFonts w:cs="Arial"/>
          <w:color w:val="444444"/>
          <w:szCs w:val="20"/>
          <w:lang w:val="sl-SI" w:eastAsia="sl-SI"/>
        </w:rPr>
        <w:t xml:space="preserve"> površina, možnost nastavitve zaslona po višini in naklonu, posebne ergonomske lastnosti, ki olajšujejo »pisarniški« način dela itd.)</w:t>
      </w:r>
      <w:hyperlink r:id="rId11" w:anchor="_ftn4" w:history="1">
        <w:r w:rsidRPr="00806839">
          <w:rPr>
            <w:rFonts w:cs="Arial"/>
            <w:color w:val="00ABA9"/>
            <w:szCs w:val="20"/>
            <w:lang w:val="sl-SI" w:eastAsia="sl-SI"/>
          </w:rPr>
          <w:t>[4]</w:t>
        </w:r>
      </w:hyperlink>
      <w:r w:rsidRPr="00806839">
        <w:rPr>
          <w:rFonts w:cs="Arial"/>
          <w:color w:val="444444"/>
          <w:szCs w:val="20"/>
          <w:lang w:val="sl-SI" w:eastAsia="sl-SI"/>
        </w:rPr>
        <w:t>.</w:t>
      </w:r>
    </w:p>
    <w:p w14:paraId="0EDFC86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3A178AC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Potrebno je tudi ugotoviti ali je monitor mogoče neposredno priključiti na sisteme  za AOP iz tar. št. 8471 in ali je zasnovan za uporabo s temi sistemi. Povezava med monitorjem in sistemi za AOP pa je lahko izvedena preko žične ali brezžične povezave.</w:t>
      </w:r>
    </w:p>
    <w:p w14:paraId="3432F391"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lastRenderedPageBreak/>
        <w:t> </w:t>
      </w:r>
    </w:p>
    <w:p w14:paraId="21B6D94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Pod tarifni oznaki KN </w:t>
      </w:r>
      <w:r w:rsidRPr="00806839">
        <w:rPr>
          <w:rFonts w:cs="Arial"/>
          <w:b/>
          <w:bCs/>
          <w:color w:val="444444"/>
          <w:szCs w:val="20"/>
          <w:lang w:val="sl-SI" w:eastAsia="sl-SI"/>
        </w:rPr>
        <w:t>8528 52 91 in 8528 52 99</w:t>
      </w:r>
      <w:r w:rsidRPr="00806839">
        <w:rPr>
          <w:rFonts w:cs="Arial"/>
          <w:color w:val="444444"/>
          <w:szCs w:val="20"/>
          <w:lang w:val="sl-SI" w:eastAsia="sl-SI"/>
        </w:rPr>
        <w:t> se uvrščajo monitorji, ki so drugačni od tistih, ki so namenjeni samo ali zlasti za uporabo v sistemu za AOP iz tarifne številke 8471 in ki so zasnovani za uporabo s takimi sistemi.</w:t>
      </w:r>
    </w:p>
    <w:p w14:paraId="7EB9EC80"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3DB2F2CC"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Tako se pod tarifno oznako KN 8528 52 91 uvrščajo monitorji z zaslonom s tekočimi kristali (LCD). Pod tarifno oznako KN 8528 52 99 pa se uvrščajo monitorji z LED, OLED, plazma ali drugačnim zaslonom.</w:t>
      </w:r>
    </w:p>
    <w:p w14:paraId="15193F2C"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0499444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Pod tarifno oznako KN 8528 52 91 se na primer uvršča več funkcijski monitor z LCD zaslonom, ki se uporablja v letalih in je zasnovan za prikaz različnih parametrov v zrakoplovu (npr. višinomer, umetno obzorje, motor in sistemski parametri). Prav tako lahko prikazuje slike zunanjih kamer in video signale iz drugih virov. Monitor ne vsebuje nobenih navigacijskih instrumentov ali drugih merilnih naprav. Vse podatke sprejema od drugih naprav (npr. navigacijski inštrumenti, kamere) in ni namenjen zlasti za uporabo v sistemih za AOP.</w:t>
      </w:r>
      <w:hyperlink r:id="rId12" w:anchor="_ftn5" w:history="1">
        <w:r w:rsidRPr="00806839">
          <w:rPr>
            <w:rFonts w:cs="Arial"/>
            <w:color w:val="00ABA9"/>
            <w:szCs w:val="20"/>
            <w:lang w:val="sl-SI" w:eastAsia="sl-SI"/>
          </w:rPr>
          <w:t>[5]</w:t>
        </w:r>
      </w:hyperlink>
    </w:p>
    <w:p w14:paraId="06DCB0E9"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5B7B83B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Izvedbeni uredbi Komisije (EU) številka 877/2014 je opisan LCD monitor z diagonalo 102 cm, ki se uporablja za sestavo video stene. Monitor podpira različne video načine, ima velikost slikovne pike, ki ni primerna za daljše gledanje od blizu, svetlost slike je visoka, priložen je daljinski upravljalnik, vgrajena so avdio vezja s funkcijo ojačevalnika zvoka ter funkcija slika v sliki (PIP). Zaradi naštetih značilnosti se monitor šteje za izdelek, ki se samo ali zlasti uporablja v sistemu za AOP iz tarifne številke 8471 in se zato uvršča pod tarifno oznako KN 8528 52 91, kot je navedeno v korelacijskih tabelah 2016/2017.</w:t>
      </w:r>
    </w:p>
    <w:p w14:paraId="2C787EE9"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25A9876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V izvedbeni uredbi komisije (EU) številka 114/2014 je opisan LCD monitor, ki se uporablja v medicinskih sistemih za prikazovanje </w:t>
      </w:r>
      <w:proofErr w:type="spellStart"/>
      <w:r w:rsidRPr="00806839">
        <w:rPr>
          <w:rFonts w:cs="Arial"/>
          <w:color w:val="444444"/>
          <w:szCs w:val="20"/>
          <w:lang w:val="sl-SI" w:eastAsia="sl-SI"/>
        </w:rPr>
        <w:t>radiografskih</w:t>
      </w:r>
      <w:proofErr w:type="spellEnd"/>
      <w:r w:rsidRPr="00806839">
        <w:rPr>
          <w:rFonts w:cs="Arial"/>
          <w:color w:val="444444"/>
          <w:szCs w:val="20"/>
          <w:lang w:val="sl-SI" w:eastAsia="sl-SI"/>
        </w:rPr>
        <w:t xml:space="preserve"> posnetkov pri klinični diagnostiki. Monitor je skladen z DICOM standardom. Uporabnik lahko nastavi izjemno natančne vrednosti gama, svetlosti in barvne temperature, monitor pa prikazuje stopnjevanje barv in sivin z natančnostjo, ki je potrebna za medicinsko diagnostiko. Zaradi naštetih značilnosti se monitor šteje za izdelek, ki se samo ali zlasti uporablja v sistemu za AOP iz tarifne številke 8471 in se uvršča  pod oznako KN 8528 52 91, kot je navedeno v korelacijskih tabelah 2016/2017.</w:t>
      </w:r>
    </w:p>
    <w:p w14:paraId="73BCAE0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286CDEB8"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skladu z Izvedbeno uredbo Komisije (EU) številka 112/2014 se pod tarifno podštevilko HS 8528 52 uvršča barvni LCD monitor z diagonalo zaslona približno 75 cm, ki je namenjen za prikaz informacij v prodajalnah, letališčih ipd. Zaradi objektivnih značilnosti, kot so velikost zaslona, podprti televizijski standardi in video načini, velikost slikovne pike, ki ni primerna za daljše gledanje od blizu, visoke svetlosti slike, avdio vezja s funkcijo ojačevalnika zvoka, funkcija slika v sliki (PIP), fiksnega stojala ter priloženega daljinskega upravljalnika se monitor  šteje za izdelek, ki se samo ali zlasti uporablja v sistemu za AOP iz tarifne številke 8471 zato se uvršča pod oznako KN 8528 52 91, kot je navedeno v korelacijskih tabelah 2016/2017.</w:t>
      </w:r>
    </w:p>
    <w:p w14:paraId="73A8F7B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3433C3CE"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V izvedbeni uredbi komisije (EU) številka 459/2014 so navedene značilnosti za video očala, ki vsebujejo dva LCD monitorja in jih je mogoče priključiti na napravo za AOP. Zaradi sposobnosti prikazovanja 3D slik je naprava namenjena gledanju filmov ali igranju iger. Video očal je mogoče šteti kot napravo, ki se samo ali zlasti uporablja v sistemu za AOP iz tarifne številke 8471 zato se uvršča pod oznako KN 8528 52 91, kot je navedeno v korelacijskih tabelah 2016/2017.</w:t>
      </w:r>
    </w:p>
    <w:p w14:paraId="40EB82C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260547C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V Izvedbeni uredbi Komisije (EU) številka 2015/712 je opisan zaslon, ki je sestavljen iz LED modulov. Zaradi objektivnih lastnosti, kot so velikost zaslona, podprti televizijski standardi (CVBS) in video načini, velikost slikovne pike, ki ni primerna za gledanje od blizu, ter visoke svetlosti slike, je zaslon namenjen uporabi za športne ali zabavne dogodke, reklame itd. se monitor šteje za izdelek, ki se samo </w:t>
      </w:r>
      <w:r w:rsidRPr="00806839">
        <w:rPr>
          <w:rFonts w:cs="Arial"/>
          <w:color w:val="444444"/>
          <w:szCs w:val="20"/>
          <w:lang w:val="sl-SI" w:eastAsia="sl-SI"/>
        </w:rPr>
        <w:lastRenderedPageBreak/>
        <w:t>ali zlasti uporablja v sistemu za AOP iz tarifne številke 8471 zato se uvršča pod oznako KN 8528 52 99, kot je navedeno v korelacijskih tabelah 2016/2017.</w:t>
      </w:r>
    </w:p>
    <w:p w14:paraId="339EEF83"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73574F1A"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b. Pod tarifno podštevilko HS 8528 59 se uvrščajo monitorji (npr. za multimedijske predvajalnike, prenosne DVD predvajalnike in digitalne okvirje za fotografije), razen tistih, ki jih je mogoče neposredno priključiti, in ki so zasnovani za uporabo, na sisteme za AOP iz tarifne številke 8471. Značilnosti teh naprav so, da niso zmožne prikazovati signalov neposredno iz sistemov za AOP. Največkrat se uporabljajo samo za reprodukcijo avdio ali video posnetkov, ipd.</w:t>
      </w:r>
    </w:p>
    <w:p w14:paraId="77828277"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64D41054"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xml:space="preserve">Njihove značilnosti so opisane v pojasnjevalnih opombah HS k tarifni številki 8528 v točki (B). »Ta skupina vključuje monitorje, ki lahko sprejemajo signale, kadar so neposredno povezani z video kamero ali snemalnikom s kompozitnim videom, s-videom ali koaksialnimi kabli, tako da so vsi radiofrekvenčni tokokrogi izločeni. Običajno se uporabljajo v televizijskih podjetjih ali za televizijo z zaprtim krogom (letališča, železniške postaje, tovarne, bolnišnice itd.). Poleg tega imajo lahko ločene vhode za rdeče (R), zeleno (G) in modro (B), ali pa so kodirani v skladu s posebnim standardom (NTSC, SECAM, PAL, D-MAC itd.). Za sprejem kodiranih signalov mora biti monitor opremljen z dekodirno napravo, ki zajema ločitev signalov R, G in B. Niso opremljeni s konektorji, značilnimi za sisteme za obdelavo podatkov, in nimajo vgrajenih mehanizmov nagiba, vrtenja in višine, nimajo </w:t>
      </w:r>
      <w:proofErr w:type="spellStart"/>
      <w:r w:rsidRPr="00806839">
        <w:rPr>
          <w:rFonts w:cs="Arial"/>
          <w:color w:val="444444"/>
          <w:szCs w:val="20"/>
          <w:lang w:val="sl-SI" w:eastAsia="sl-SI"/>
        </w:rPr>
        <w:t>nebleščeče</w:t>
      </w:r>
      <w:proofErr w:type="spellEnd"/>
      <w:r w:rsidRPr="00806839">
        <w:rPr>
          <w:rFonts w:cs="Arial"/>
          <w:color w:val="444444"/>
          <w:szCs w:val="20"/>
          <w:lang w:val="sl-SI" w:eastAsia="sl-SI"/>
        </w:rPr>
        <w:t xml:space="preserve"> površine, zaslona brez utripanja in drugih ergonomsko oblikovnih značilnosti, ki omogočajo daljše časovno gledanje iz neposredne bližine monitorja. Ne vsebujejo </w:t>
      </w:r>
      <w:proofErr w:type="spellStart"/>
      <w:r w:rsidRPr="00806839">
        <w:rPr>
          <w:rFonts w:cs="Arial"/>
          <w:color w:val="444444"/>
          <w:szCs w:val="20"/>
          <w:lang w:val="sl-SI" w:eastAsia="sl-SI"/>
        </w:rPr>
        <w:t>izbirnika</w:t>
      </w:r>
      <w:proofErr w:type="spellEnd"/>
      <w:r w:rsidRPr="00806839">
        <w:rPr>
          <w:rFonts w:cs="Arial"/>
          <w:color w:val="444444"/>
          <w:szCs w:val="20"/>
          <w:lang w:val="sl-SI" w:eastAsia="sl-SI"/>
        </w:rPr>
        <w:t xml:space="preserve"> kanala ali video tunerja«.</w:t>
      </w:r>
    </w:p>
    <w:p w14:paraId="3683658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 </w:t>
      </w:r>
    </w:p>
    <w:p w14:paraId="69DA7495" w14:textId="77777777" w:rsidR="00806839" w:rsidRPr="00806839" w:rsidRDefault="00806839" w:rsidP="00806839">
      <w:pPr>
        <w:spacing w:after="150" w:line="240" w:lineRule="auto"/>
        <w:jc w:val="both"/>
        <w:rPr>
          <w:rFonts w:cs="Arial"/>
          <w:color w:val="444444"/>
          <w:szCs w:val="20"/>
          <w:lang w:val="sl-SI" w:eastAsia="sl-SI"/>
        </w:rPr>
      </w:pPr>
      <w:r w:rsidRPr="00806839">
        <w:rPr>
          <w:rFonts w:cs="Arial"/>
          <w:color w:val="444444"/>
          <w:szCs w:val="20"/>
          <w:lang w:val="sl-SI" w:eastAsia="sl-SI"/>
        </w:rPr>
        <w:t>Pod to tarifno podštevilko HS se npr. uvrščajo naprave za snemanje, reprodukcijo in predvajanje fotografij in video posnetkov, (t. i. »digitalni okvir za fotografije«), ter za snemanje in reprodukcijo zvoka, naprave s sistemom za lasersko odčitavanje optičnega zapisa za video reprodukcijo in z barvnim monitorjem za prikazovanje video posnetkov (t. i. »prenosni DVD-predvajalnik«), večnamenske naprave (t. i. »multimedijski center za motorna vozila«).</w:t>
      </w:r>
      <w:hyperlink r:id="rId13" w:anchor="_ftn6" w:history="1">
        <w:r w:rsidRPr="00806839">
          <w:rPr>
            <w:rFonts w:cs="Arial"/>
            <w:color w:val="00ABA9"/>
            <w:szCs w:val="20"/>
            <w:lang w:val="sl-SI" w:eastAsia="sl-SI"/>
          </w:rPr>
          <w:t>[6]</w:t>
        </w:r>
      </w:hyperlink>
    </w:p>
    <w:p w14:paraId="7CB76D17" w14:textId="77777777" w:rsidR="00806839" w:rsidRPr="00806839" w:rsidRDefault="00806839" w:rsidP="00806839">
      <w:pPr>
        <w:spacing w:after="150" w:line="240" w:lineRule="auto"/>
        <w:rPr>
          <w:rFonts w:ascii="Times New Roman" w:hAnsi="Times New Roman"/>
          <w:sz w:val="24"/>
          <w:lang w:val="sl-SI" w:eastAsia="sl-SI"/>
        </w:rPr>
      </w:pPr>
    </w:p>
    <w:p w14:paraId="23E0F9F4" w14:textId="77777777" w:rsidR="00806839" w:rsidRPr="00806839" w:rsidRDefault="00915A2B" w:rsidP="00806839">
      <w:pPr>
        <w:spacing w:after="150" w:line="240" w:lineRule="auto"/>
        <w:rPr>
          <w:rFonts w:cs="Arial"/>
          <w:color w:val="444444"/>
          <w:szCs w:val="20"/>
          <w:lang w:val="sl-SI" w:eastAsia="sl-SI"/>
        </w:rPr>
      </w:pPr>
      <w:hyperlink r:id="rId14" w:anchor="_ftnref1" w:history="1">
        <w:r w:rsidR="00806839" w:rsidRPr="00806839">
          <w:rPr>
            <w:rFonts w:cs="Arial"/>
            <w:color w:val="00918F"/>
            <w:szCs w:val="20"/>
            <w:u w:val="single"/>
            <w:lang w:val="sl-SI" w:eastAsia="sl-SI"/>
          </w:rPr>
          <w:t>[1]</w:t>
        </w:r>
      </w:hyperlink>
      <w:r w:rsidR="00806839" w:rsidRPr="00806839">
        <w:rPr>
          <w:rFonts w:cs="Arial"/>
          <w:color w:val="444444"/>
          <w:szCs w:val="20"/>
          <w:lang w:val="sl-SI" w:eastAsia="sl-SI"/>
        </w:rPr>
        <w:t> Monitorji z vgrajenim televizijskim sprejemnikom se uvrščajo pod tarifno podštevilko HS 8528 72 ali 8528 73.</w:t>
      </w:r>
    </w:p>
    <w:p w14:paraId="08E1BD04" w14:textId="77777777" w:rsidR="00806839" w:rsidRPr="00806839" w:rsidRDefault="00915A2B" w:rsidP="00806839">
      <w:pPr>
        <w:spacing w:after="150" w:line="240" w:lineRule="auto"/>
        <w:rPr>
          <w:rFonts w:cs="Arial"/>
          <w:color w:val="444444"/>
          <w:szCs w:val="20"/>
          <w:lang w:val="sl-SI" w:eastAsia="sl-SI"/>
        </w:rPr>
      </w:pPr>
      <w:hyperlink r:id="rId15" w:anchor="_ftnref2" w:history="1">
        <w:r w:rsidR="00806839" w:rsidRPr="00806839">
          <w:rPr>
            <w:rFonts w:cs="Arial"/>
            <w:color w:val="00ABA9"/>
            <w:szCs w:val="20"/>
            <w:lang w:val="sl-SI" w:eastAsia="sl-SI"/>
          </w:rPr>
          <w:t>[2]</w:t>
        </w:r>
      </w:hyperlink>
      <w:r w:rsidR="00806839" w:rsidRPr="00806839">
        <w:rPr>
          <w:rFonts w:cs="Arial"/>
          <w:color w:val="444444"/>
          <w:szCs w:val="20"/>
          <w:lang w:val="sl-SI" w:eastAsia="sl-SI"/>
        </w:rPr>
        <w:t> Sodba sodišča EU številka C-288/18 z dne 11. aprila 2019, točka 40</w:t>
      </w:r>
    </w:p>
    <w:p w14:paraId="571CFED8" w14:textId="77777777" w:rsidR="00806839" w:rsidRPr="00806839" w:rsidRDefault="00915A2B" w:rsidP="00806839">
      <w:pPr>
        <w:spacing w:after="150" w:line="240" w:lineRule="auto"/>
        <w:rPr>
          <w:rFonts w:cs="Arial"/>
          <w:color w:val="444444"/>
          <w:szCs w:val="20"/>
          <w:lang w:val="sl-SI" w:eastAsia="sl-SI"/>
        </w:rPr>
      </w:pPr>
      <w:hyperlink r:id="rId16" w:anchor="_ftnref3" w:history="1">
        <w:r w:rsidR="00806839" w:rsidRPr="00806839">
          <w:rPr>
            <w:rFonts w:cs="Arial"/>
            <w:color w:val="00ABA9"/>
            <w:szCs w:val="20"/>
            <w:lang w:val="sl-SI" w:eastAsia="sl-SI"/>
          </w:rPr>
          <w:t>[3]</w:t>
        </w:r>
      </w:hyperlink>
      <w:r w:rsidR="00806839" w:rsidRPr="00806839">
        <w:rPr>
          <w:rFonts w:cs="Arial"/>
          <w:color w:val="444444"/>
          <w:szCs w:val="20"/>
          <w:lang w:val="sl-SI" w:eastAsia="sl-SI"/>
        </w:rPr>
        <w:t> Sodba sodišča EU številka C-288/18 z dne 11. aprila 2019, točka 41</w:t>
      </w:r>
    </w:p>
    <w:p w14:paraId="0E698DBF" w14:textId="77777777" w:rsidR="00806839" w:rsidRPr="00806839" w:rsidRDefault="00915A2B" w:rsidP="00806839">
      <w:pPr>
        <w:spacing w:after="150" w:line="240" w:lineRule="auto"/>
        <w:rPr>
          <w:rFonts w:cs="Arial"/>
          <w:color w:val="444444"/>
          <w:szCs w:val="20"/>
          <w:lang w:val="sl-SI" w:eastAsia="sl-SI"/>
        </w:rPr>
      </w:pPr>
      <w:hyperlink r:id="rId17" w:anchor="_ftnref4" w:history="1">
        <w:r w:rsidR="00806839" w:rsidRPr="00806839">
          <w:rPr>
            <w:rFonts w:cs="Arial"/>
            <w:color w:val="00ABA9"/>
            <w:szCs w:val="20"/>
            <w:lang w:val="sl-SI" w:eastAsia="sl-SI"/>
          </w:rPr>
          <w:t>[4]</w:t>
        </w:r>
      </w:hyperlink>
      <w:r w:rsidR="00806839" w:rsidRPr="00806839">
        <w:rPr>
          <w:rFonts w:cs="Arial"/>
          <w:color w:val="444444"/>
          <w:szCs w:val="20"/>
          <w:lang w:val="sl-SI" w:eastAsia="sl-SI"/>
        </w:rPr>
        <w:t> Izvedbena uredba Komisije (EU) št. 111/2014 in št. 310/2014</w:t>
      </w:r>
    </w:p>
    <w:p w14:paraId="026F93BC" w14:textId="77777777" w:rsidR="00806839" w:rsidRPr="00806839" w:rsidRDefault="00915A2B" w:rsidP="00806839">
      <w:pPr>
        <w:spacing w:after="150" w:line="240" w:lineRule="auto"/>
        <w:rPr>
          <w:rFonts w:cs="Arial"/>
          <w:color w:val="444444"/>
          <w:szCs w:val="20"/>
          <w:lang w:val="sl-SI" w:eastAsia="sl-SI"/>
        </w:rPr>
      </w:pPr>
      <w:hyperlink r:id="rId18" w:anchor="_ftnref5" w:history="1">
        <w:r w:rsidR="00806839" w:rsidRPr="00806839">
          <w:rPr>
            <w:rFonts w:cs="Arial"/>
            <w:color w:val="00ABA9"/>
            <w:szCs w:val="20"/>
            <w:lang w:val="sl-SI" w:eastAsia="sl-SI"/>
          </w:rPr>
          <w:t>[5]</w:t>
        </w:r>
      </w:hyperlink>
      <w:r w:rsidR="00806839" w:rsidRPr="00806839">
        <w:rPr>
          <w:rFonts w:cs="Arial"/>
          <w:color w:val="444444"/>
          <w:szCs w:val="20"/>
          <w:lang w:val="sl-SI" w:eastAsia="sl-SI"/>
        </w:rPr>
        <w:t> Zapisnik 190. sestanka odbora za kombinirano nomenklaturo </w:t>
      </w:r>
      <w:hyperlink r:id="rId19" w:history="1">
        <w:r w:rsidR="00806839" w:rsidRPr="00806839">
          <w:rPr>
            <w:rFonts w:cs="Arial"/>
            <w:color w:val="00ABA9"/>
            <w:szCs w:val="20"/>
            <w:lang w:val="sl-SI" w:eastAsia="sl-SI"/>
          </w:rPr>
          <w:t>https://ec.europa.eu/transparency/regcomitology/index.cfm?do=search.documentdetail&amp;Dos_ID=16168&amp;DS_ID=57780&amp;Version=1</w:t>
        </w:r>
      </w:hyperlink>
    </w:p>
    <w:p w14:paraId="0D834162" w14:textId="77777777" w:rsidR="00806839" w:rsidRPr="00806839" w:rsidRDefault="00915A2B" w:rsidP="00806839">
      <w:pPr>
        <w:spacing w:after="150" w:line="240" w:lineRule="auto"/>
        <w:rPr>
          <w:rFonts w:cs="Arial"/>
          <w:color w:val="444444"/>
          <w:szCs w:val="20"/>
          <w:lang w:val="sl-SI" w:eastAsia="sl-SI"/>
        </w:rPr>
      </w:pPr>
      <w:hyperlink r:id="rId20" w:anchor="_ftnref6" w:history="1">
        <w:r w:rsidR="00806839" w:rsidRPr="00806839">
          <w:rPr>
            <w:rFonts w:cs="Arial"/>
            <w:color w:val="00ABA9"/>
            <w:szCs w:val="20"/>
            <w:lang w:val="sl-SI" w:eastAsia="sl-SI"/>
          </w:rPr>
          <w:t>[6]</w:t>
        </w:r>
      </w:hyperlink>
      <w:r w:rsidR="00806839" w:rsidRPr="00806839">
        <w:rPr>
          <w:rFonts w:cs="Arial"/>
          <w:color w:val="444444"/>
          <w:szCs w:val="20"/>
          <w:lang w:val="sl-SI" w:eastAsia="sl-SI"/>
        </w:rPr>
        <w:t> Izvedbena uredba Komisije (EU) št. 459/2014​</w:t>
      </w:r>
    </w:p>
    <w:p w14:paraId="01165606" w14:textId="77777777" w:rsidR="001B62C8" w:rsidRPr="0065488D" w:rsidRDefault="001B62C8" w:rsidP="0064011B">
      <w:pPr>
        <w:rPr>
          <w:lang w:val="sl-SI"/>
        </w:rPr>
      </w:pPr>
    </w:p>
    <w:sectPr w:rsidR="001B62C8" w:rsidRPr="0065488D" w:rsidSect="00F0025B">
      <w:headerReference w:type="default" r:id="rId21"/>
      <w:footerReference w:type="default" r:id="rId22"/>
      <w:headerReference w:type="first" r:id="rId23"/>
      <w:footerReference w:type="first" r:id="rId2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7968" w14:textId="77777777" w:rsidR="00915A2B" w:rsidRDefault="00915A2B">
      <w:pPr>
        <w:spacing w:line="240" w:lineRule="auto"/>
      </w:pPr>
      <w:r>
        <w:separator/>
      </w:r>
    </w:p>
  </w:endnote>
  <w:endnote w:type="continuationSeparator" w:id="0">
    <w:p w14:paraId="5B67E6C1" w14:textId="77777777" w:rsidR="00915A2B" w:rsidRDefault="00915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B24C" w14:textId="2A34F471" w:rsidR="000F062C" w:rsidRDefault="00FC794B" w:rsidP="00416CED">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7B7DB7">
      <w:rPr>
        <w:rFonts w:cs="Arial"/>
        <w:noProof/>
        <w:sz w:val="16"/>
      </w:rPr>
      <w:t>5</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7B7DB7">
      <w:rPr>
        <w:rFonts w:cs="Arial"/>
        <w:noProof/>
        <w:sz w:val="16"/>
      </w:rPr>
      <w:t>5</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B269" w14:textId="5C859E3E" w:rsidR="000F062C" w:rsidRDefault="00FC794B" w:rsidP="00416CED">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B7DB7">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B7DB7">
      <w:rPr>
        <w:rFonts w:cs="Arial"/>
        <w:noProof/>
        <w:sz w:val="16"/>
      </w:rPr>
      <w:t>5</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08B6" w14:textId="77777777" w:rsidR="00915A2B" w:rsidRDefault="00915A2B">
      <w:pPr>
        <w:spacing w:line="240" w:lineRule="auto"/>
      </w:pPr>
      <w:r>
        <w:separator/>
      </w:r>
    </w:p>
  </w:footnote>
  <w:footnote w:type="continuationSeparator" w:id="0">
    <w:p w14:paraId="3271E84C" w14:textId="77777777" w:rsidR="00915A2B" w:rsidRDefault="00915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6B24B" w14:textId="77777777" w:rsidR="000F062C" w:rsidRPr="00110CBD" w:rsidRDefault="000F062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45E9C" w14:paraId="6B36B25E" w14:textId="77777777">
      <w:trPr>
        <w:cantSplit/>
        <w:trHeight w:hRule="exact" w:val="847"/>
      </w:trPr>
      <w:tc>
        <w:tcPr>
          <w:tcW w:w="567" w:type="dxa"/>
        </w:tcPr>
        <w:p w14:paraId="6B36B24D" w14:textId="77777777" w:rsidR="000F062C" w:rsidRDefault="00FC794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6B36B24E" w14:textId="77777777" w:rsidR="000F062C" w:rsidRPr="006D42D9" w:rsidRDefault="000F062C" w:rsidP="006D42D9">
          <w:pPr>
            <w:rPr>
              <w:rFonts w:ascii="Republika" w:hAnsi="Republika"/>
              <w:sz w:val="60"/>
              <w:szCs w:val="60"/>
              <w:lang w:val="sl-SI"/>
            </w:rPr>
          </w:pPr>
        </w:p>
        <w:p w14:paraId="6B36B24F" w14:textId="77777777" w:rsidR="000F062C" w:rsidRPr="006D42D9" w:rsidRDefault="000F062C" w:rsidP="006D42D9">
          <w:pPr>
            <w:rPr>
              <w:rFonts w:ascii="Republika" w:hAnsi="Republika"/>
              <w:sz w:val="60"/>
              <w:szCs w:val="60"/>
              <w:lang w:val="sl-SI"/>
            </w:rPr>
          </w:pPr>
        </w:p>
        <w:p w14:paraId="6B36B250" w14:textId="77777777" w:rsidR="000F062C" w:rsidRPr="006D42D9" w:rsidRDefault="000F062C" w:rsidP="006D42D9">
          <w:pPr>
            <w:rPr>
              <w:rFonts w:ascii="Republika" w:hAnsi="Republika"/>
              <w:sz w:val="60"/>
              <w:szCs w:val="60"/>
              <w:lang w:val="sl-SI"/>
            </w:rPr>
          </w:pPr>
        </w:p>
        <w:p w14:paraId="6B36B251" w14:textId="77777777" w:rsidR="000F062C" w:rsidRPr="006D42D9" w:rsidRDefault="000F062C" w:rsidP="006D42D9">
          <w:pPr>
            <w:rPr>
              <w:rFonts w:ascii="Republika" w:hAnsi="Republika"/>
              <w:sz w:val="60"/>
              <w:szCs w:val="60"/>
              <w:lang w:val="sl-SI"/>
            </w:rPr>
          </w:pPr>
        </w:p>
        <w:p w14:paraId="6B36B252" w14:textId="77777777" w:rsidR="000F062C" w:rsidRPr="006D42D9" w:rsidRDefault="000F062C" w:rsidP="006D42D9">
          <w:pPr>
            <w:rPr>
              <w:rFonts w:ascii="Republika" w:hAnsi="Republika"/>
              <w:sz w:val="60"/>
              <w:szCs w:val="60"/>
              <w:lang w:val="sl-SI"/>
            </w:rPr>
          </w:pPr>
        </w:p>
        <w:p w14:paraId="6B36B253" w14:textId="77777777" w:rsidR="000F062C" w:rsidRPr="006D42D9" w:rsidRDefault="000F062C" w:rsidP="006D42D9">
          <w:pPr>
            <w:rPr>
              <w:rFonts w:ascii="Republika" w:hAnsi="Republika"/>
              <w:sz w:val="60"/>
              <w:szCs w:val="60"/>
              <w:lang w:val="sl-SI"/>
            </w:rPr>
          </w:pPr>
        </w:p>
        <w:p w14:paraId="6B36B254" w14:textId="77777777" w:rsidR="000F062C" w:rsidRPr="006D42D9" w:rsidRDefault="000F062C" w:rsidP="006D42D9">
          <w:pPr>
            <w:rPr>
              <w:rFonts w:ascii="Republika" w:hAnsi="Republika"/>
              <w:sz w:val="60"/>
              <w:szCs w:val="60"/>
              <w:lang w:val="sl-SI"/>
            </w:rPr>
          </w:pPr>
        </w:p>
        <w:p w14:paraId="6B36B255" w14:textId="77777777" w:rsidR="000F062C" w:rsidRPr="006D42D9" w:rsidRDefault="000F062C" w:rsidP="006D42D9">
          <w:pPr>
            <w:rPr>
              <w:rFonts w:ascii="Republika" w:hAnsi="Republika"/>
              <w:sz w:val="60"/>
              <w:szCs w:val="60"/>
              <w:lang w:val="sl-SI"/>
            </w:rPr>
          </w:pPr>
        </w:p>
        <w:p w14:paraId="6B36B256" w14:textId="77777777" w:rsidR="000F062C" w:rsidRPr="006D42D9" w:rsidRDefault="000F062C" w:rsidP="006D42D9">
          <w:pPr>
            <w:rPr>
              <w:rFonts w:ascii="Republika" w:hAnsi="Republika"/>
              <w:sz w:val="60"/>
              <w:szCs w:val="60"/>
              <w:lang w:val="sl-SI"/>
            </w:rPr>
          </w:pPr>
        </w:p>
        <w:p w14:paraId="6B36B257" w14:textId="77777777" w:rsidR="000F062C" w:rsidRPr="006D42D9" w:rsidRDefault="000F062C" w:rsidP="006D42D9">
          <w:pPr>
            <w:rPr>
              <w:rFonts w:ascii="Republika" w:hAnsi="Republika"/>
              <w:sz w:val="60"/>
              <w:szCs w:val="60"/>
              <w:lang w:val="sl-SI"/>
            </w:rPr>
          </w:pPr>
        </w:p>
        <w:p w14:paraId="6B36B258" w14:textId="77777777" w:rsidR="000F062C" w:rsidRPr="006D42D9" w:rsidRDefault="000F062C" w:rsidP="006D42D9">
          <w:pPr>
            <w:rPr>
              <w:rFonts w:ascii="Republika" w:hAnsi="Republika"/>
              <w:sz w:val="60"/>
              <w:szCs w:val="60"/>
              <w:lang w:val="sl-SI"/>
            </w:rPr>
          </w:pPr>
        </w:p>
        <w:p w14:paraId="6B36B259" w14:textId="77777777" w:rsidR="000F062C" w:rsidRPr="006D42D9" w:rsidRDefault="000F062C" w:rsidP="006D42D9">
          <w:pPr>
            <w:rPr>
              <w:rFonts w:ascii="Republika" w:hAnsi="Republika"/>
              <w:sz w:val="60"/>
              <w:szCs w:val="60"/>
              <w:lang w:val="sl-SI"/>
            </w:rPr>
          </w:pPr>
        </w:p>
        <w:p w14:paraId="6B36B25A" w14:textId="77777777" w:rsidR="000F062C" w:rsidRPr="006D42D9" w:rsidRDefault="000F062C" w:rsidP="006D42D9">
          <w:pPr>
            <w:rPr>
              <w:rFonts w:ascii="Republika" w:hAnsi="Republika"/>
              <w:sz w:val="60"/>
              <w:szCs w:val="60"/>
              <w:lang w:val="sl-SI"/>
            </w:rPr>
          </w:pPr>
        </w:p>
        <w:p w14:paraId="6B36B25B" w14:textId="77777777" w:rsidR="000F062C" w:rsidRPr="006D42D9" w:rsidRDefault="000F062C" w:rsidP="006D42D9">
          <w:pPr>
            <w:rPr>
              <w:rFonts w:ascii="Republika" w:hAnsi="Republika"/>
              <w:sz w:val="60"/>
              <w:szCs w:val="60"/>
              <w:lang w:val="sl-SI"/>
            </w:rPr>
          </w:pPr>
        </w:p>
        <w:p w14:paraId="6B36B25C" w14:textId="77777777" w:rsidR="000F062C" w:rsidRPr="006D42D9" w:rsidRDefault="000F062C" w:rsidP="006D42D9">
          <w:pPr>
            <w:rPr>
              <w:rFonts w:ascii="Republika" w:hAnsi="Republika"/>
              <w:sz w:val="60"/>
              <w:szCs w:val="60"/>
              <w:lang w:val="sl-SI"/>
            </w:rPr>
          </w:pPr>
        </w:p>
        <w:p w14:paraId="6B36B25D" w14:textId="77777777" w:rsidR="000F062C" w:rsidRPr="006D42D9" w:rsidRDefault="000F062C" w:rsidP="006D42D9">
          <w:pPr>
            <w:rPr>
              <w:rFonts w:ascii="Republika" w:hAnsi="Republika"/>
              <w:sz w:val="60"/>
              <w:szCs w:val="60"/>
              <w:lang w:val="sl-SI"/>
            </w:rPr>
          </w:pPr>
        </w:p>
      </w:tc>
    </w:tr>
  </w:tbl>
  <w:p w14:paraId="6B36B25F" w14:textId="77777777" w:rsidR="000F062C" w:rsidRPr="008F3500" w:rsidRDefault="00FC794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B36B26A" wp14:editId="6B36B26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B36B260" w14:textId="77777777" w:rsidR="000F062C" w:rsidRPr="008F3500" w:rsidRDefault="00FC794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B36B261" w14:textId="77777777" w:rsidR="000F062C" w:rsidRPr="008F3500" w:rsidRDefault="00FC794B" w:rsidP="00567106">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w:t>
    </w:r>
    <w:r w:rsidR="006E6072">
      <w:rPr>
        <w:rFonts w:ascii="Republika" w:hAnsi="Republika"/>
        <w:caps/>
        <w:lang w:val="sl-SI"/>
      </w:rPr>
      <w:t xml:space="preserve"> uprava Republike Slovenije</w:t>
    </w:r>
  </w:p>
  <w:p w14:paraId="6B36B262" w14:textId="77777777" w:rsidR="000F062C" w:rsidRPr="008F3500" w:rsidRDefault="00FC794B" w:rsidP="00567106">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Generalni finančni</w:t>
    </w:r>
    <w:r w:rsidR="006E6072">
      <w:rPr>
        <w:rFonts w:ascii="Republika" w:hAnsi="Republika"/>
        <w:lang w:val="sl-SI"/>
      </w:rPr>
      <w:t xml:space="preserve"> urad</w:t>
    </w:r>
  </w:p>
  <w:p w14:paraId="6B36B263" w14:textId="77777777" w:rsidR="000F062C" w:rsidRPr="008F3500" w:rsidRDefault="00FC794B" w:rsidP="003F3B6F">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Uprava za carine</w:t>
    </w:r>
    <w:r w:rsidRPr="008F3500">
      <w:rPr>
        <w:rFonts w:ascii="Republika" w:hAnsi="Republika"/>
        <w:lang w:val="sl-SI"/>
      </w:rPr>
      <w:t xml:space="preserve"> </w:t>
    </w:r>
  </w:p>
  <w:p w14:paraId="6B36B264" w14:textId="77777777" w:rsidR="000F062C" w:rsidRPr="008F3500" w:rsidRDefault="00FC794B" w:rsidP="003F3B6F">
    <w:pPr>
      <w:pStyle w:val="Glava"/>
      <w:tabs>
        <w:tab w:val="clear" w:pos="4320"/>
        <w:tab w:val="clear" w:pos="8640"/>
        <w:tab w:val="left" w:pos="5112"/>
      </w:tabs>
      <w:spacing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105066">
      <w:rPr>
        <w:rFonts w:cs="Arial"/>
        <w:sz w:val="16"/>
        <w:lang w:val="sl-SI"/>
      </w:rPr>
      <w:t>38 00</w:t>
    </w:r>
  </w:p>
  <w:p w14:paraId="6B36B265" w14:textId="77777777" w:rsidR="000F062C" w:rsidRPr="008F3500" w:rsidRDefault="00FC794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E6072">
      <w:rPr>
        <w:rFonts w:cs="Arial"/>
        <w:sz w:val="16"/>
        <w:lang w:val="sl-SI"/>
      </w:rPr>
      <w:t xml:space="preserve">01 478 </w:t>
    </w:r>
    <w:r w:rsidR="00105066">
      <w:rPr>
        <w:rFonts w:cs="Arial"/>
        <w:sz w:val="16"/>
        <w:lang w:val="sl-SI"/>
      </w:rPr>
      <w:t>39 00</w:t>
    </w:r>
    <w:r w:rsidRPr="008F3500">
      <w:rPr>
        <w:rFonts w:cs="Arial"/>
        <w:sz w:val="16"/>
        <w:lang w:val="sl-SI"/>
      </w:rPr>
      <w:t xml:space="preserve"> </w:t>
    </w:r>
  </w:p>
  <w:p w14:paraId="6B36B266" w14:textId="77777777" w:rsidR="000F062C" w:rsidRPr="008F3500" w:rsidRDefault="00FC794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05066">
      <w:rPr>
        <w:rFonts w:cs="Arial"/>
        <w:sz w:val="16"/>
        <w:lang w:val="sl-SI"/>
      </w:rPr>
      <w:t>gfu.fu@gov.si</w:t>
    </w:r>
  </w:p>
  <w:p w14:paraId="6B36B267" w14:textId="77777777" w:rsidR="000F062C" w:rsidRPr="008F3500" w:rsidRDefault="00FC794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05066">
      <w:rPr>
        <w:rFonts w:cs="Arial"/>
        <w:sz w:val="16"/>
        <w:lang w:val="sl-SI"/>
      </w:rPr>
      <w:t>www.fu</w:t>
    </w:r>
    <w:r w:rsidR="006E6072">
      <w:rPr>
        <w:rFonts w:cs="Arial"/>
        <w:sz w:val="16"/>
        <w:lang w:val="sl-SI"/>
      </w:rPr>
      <w:t>.gov.si</w:t>
    </w:r>
  </w:p>
  <w:p w14:paraId="6B36B268" w14:textId="77777777" w:rsidR="000F062C" w:rsidRPr="008F3500" w:rsidRDefault="000F062C"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FB7C4C0E">
      <w:start w:val="1"/>
      <w:numFmt w:val="decimal"/>
      <w:lvlText w:val="%1."/>
      <w:lvlJc w:val="left"/>
      <w:pPr>
        <w:tabs>
          <w:tab w:val="num" w:pos="1080"/>
        </w:tabs>
        <w:ind w:left="1080" w:hanging="360"/>
      </w:pPr>
      <w:rPr>
        <w:rFonts w:hint="default"/>
      </w:rPr>
    </w:lvl>
    <w:lvl w:ilvl="1" w:tplc="3782C436" w:tentative="1">
      <w:start w:val="1"/>
      <w:numFmt w:val="lowerLetter"/>
      <w:lvlText w:val="%2."/>
      <w:lvlJc w:val="left"/>
      <w:pPr>
        <w:ind w:left="1800" w:hanging="360"/>
      </w:pPr>
    </w:lvl>
    <w:lvl w:ilvl="2" w:tplc="D45C6444" w:tentative="1">
      <w:start w:val="1"/>
      <w:numFmt w:val="lowerRoman"/>
      <w:lvlText w:val="%3."/>
      <w:lvlJc w:val="right"/>
      <w:pPr>
        <w:ind w:left="2520" w:hanging="180"/>
      </w:pPr>
    </w:lvl>
    <w:lvl w:ilvl="3" w:tplc="FCA04306" w:tentative="1">
      <w:start w:val="1"/>
      <w:numFmt w:val="decimal"/>
      <w:lvlText w:val="%4."/>
      <w:lvlJc w:val="left"/>
      <w:pPr>
        <w:ind w:left="3240" w:hanging="360"/>
      </w:pPr>
    </w:lvl>
    <w:lvl w:ilvl="4" w:tplc="B22E24AE" w:tentative="1">
      <w:start w:val="1"/>
      <w:numFmt w:val="lowerLetter"/>
      <w:lvlText w:val="%5."/>
      <w:lvlJc w:val="left"/>
      <w:pPr>
        <w:ind w:left="3960" w:hanging="360"/>
      </w:pPr>
    </w:lvl>
    <w:lvl w:ilvl="5" w:tplc="A790DF32" w:tentative="1">
      <w:start w:val="1"/>
      <w:numFmt w:val="lowerRoman"/>
      <w:lvlText w:val="%6."/>
      <w:lvlJc w:val="right"/>
      <w:pPr>
        <w:ind w:left="4680" w:hanging="180"/>
      </w:pPr>
    </w:lvl>
    <w:lvl w:ilvl="6" w:tplc="33D4B884" w:tentative="1">
      <w:start w:val="1"/>
      <w:numFmt w:val="decimal"/>
      <w:lvlText w:val="%7."/>
      <w:lvlJc w:val="left"/>
      <w:pPr>
        <w:ind w:left="5400" w:hanging="360"/>
      </w:pPr>
    </w:lvl>
    <w:lvl w:ilvl="7" w:tplc="2BFA9E5A" w:tentative="1">
      <w:start w:val="1"/>
      <w:numFmt w:val="lowerLetter"/>
      <w:lvlText w:val="%8."/>
      <w:lvlJc w:val="left"/>
      <w:pPr>
        <w:ind w:left="6120" w:hanging="360"/>
      </w:pPr>
    </w:lvl>
    <w:lvl w:ilvl="8" w:tplc="8332BDC6"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5BE025A8">
      <w:start w:val="1"/>
      <w:numFmt w:val="decimal"/>
      <w:lvlText w:val="%1."/>
      <w:lvlJc w:val="left"/>
      <w:pPr>
        <w:tabs>
          <w:tab w:val="num" w:pos="360"/>
        </w:tabs>
        <w:ind w:left="360" w:hanging="360"/>
      </w:pPr>
      <w:rPr>
        <w:rFonts w:hint="default"/>
      </w:rPr>
    </w:lvl>
    <w:lvl w:ilvl="1" w:tplc="FFE471C0" w:tentative="1">
      <w:start w:val="1"/>
      <w:numFmt w:val="lowerLetter"/>
      <w:lvlText w:val="%2."/>
      <w:lvlJc w:val="left"/>
      <w:pPr>
        <w:ind w:left="1080" w:hanging="360"/>
      </w:pPr>
    </w:lvl>
    <w:lvl w:ilvl="2" w:tplc="57E08F1E" w:tentative="1">
      <w:start w:val="1"/>
      <w:numFmt w:val="lowerRoman"/>
      <w:lvlText w:val="%3."/>
      <w:lvlJc w:val="right"/>
      <w:pPr>
        <w:ind w:left="1800" w:hanging="180"/>
      </w:pPr>
    </w:lvl>
    <w:lvl w:ilvl="3" w:tplc="EE442EE2" w:tentative="1">
      <w:start w:val="1"/>
      <w:numFmt w:val="decimal"/>
      <w:lvlText w:val="%4."/>
      <w:lvlJc w:val="left"/>
      <w:pPr>
        <w:ind w:left="2520" w:hanging="360"/>
      </w:pPr>
    </w:lvl>
    <w:lvl w:ilvl="4" w:tplc="FD2E6660" w:tentative="1">
      <w:start w:val="1"/>
      <w:numFmt w:val="lowerLetter"/>
      <w:lvlText w:val="%5."/>
      <w:lvlJc w:val="left"/>
      <w:pPr>
        <w:ind w:left="3240" w:hanging="360"/>
      </w:pPr>
    </w:lvl>
    <w:lvl w:ilvl="5" w:tplc="08E0F2EC" w:tentative="1">
      <w:start w:val="1"/>
      <w:numFmt w:val="lowerRoman"/>
      <w:lvlText w:val="%6."/>
      <w:lvlJc w:val="right"/>
      <w:pPr>
        <w:ind w:left="3960" w:hanging="180"/>
      </w:pPr>
    </w:lvl>
    <w:lvl w:ilvl="6" w:tplc="D5EC53DC" w:tentative="1">
      <w:start w:val="1"/>
      <w:numFmt w:val="decimal"/>
      <w:lvlText w:val="%7."/>
      <w:lvlJc w:val="left"/>
      <w:pPr>
        <w:ind w:left="4680" w:hanging="360"/>
      </w:pPr>
    </w:lvl>
    <w:lvl w:ilvl="7" w:tplc="AB94D9EE" w:tentative="1">
      <w:start w:val="1"/>
      <w:numFmt w:val="lowerLetter"/>
      <w:lvlText w:val="%8."/>
      <w:lvlJc w:val="left"/>
      <w:pPr>
        <w:ind w:left="5400" w:hanging="360"/>
      </w:pPr>
    </w:lvl>
    <w:lvl w:ilvl="8" w:tplc="307A002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445AA014">
      <w:start w:val="1"/>
      <w:numFmt w:val="decimal"/>
      <w:lvlText w:val="%1."/>
      <w:lvlJc w:val="left"/>
      <w:pPr>
        <w:tabs>
          <w:tab w:val="num" w:pos="720"/>
        </w:tabs>
        <w:ind w:left="720" w:hanging="360"/>
      </w:pPr>
      <w:rPr>
        <w:rFonts w:hint="default"/>
      </w:rPr>
    </w:lvl>
    <w:lvl w:ilvl="1" w:tplc="C5307CD8" w:tentative="1">
      <w:start w:val="1"/>
      <w:numFmt w:val="lowerLetter"/>
      <w:lvlText w:val="%2."/>
      <w:lvlJc w:val="left"/>
      <w:pPr>
        <w:tabs>
          <w:tab w:val="num" w:pos="1440"/>
        </w:tabs>
        <w:ind w:left="1440" w:hanging="360"/>
      </w:pPr>
    </w:lvl>
    <w:lvl w:ilvl="2" w:tplc="FDD2F054" w:tentative="1">
      <w:start w:val="1"/>
      <w:numFmt w:val="lowerRoman"/>
      <w:lvlText w:val="%3."/>
      <w:lvlJc w:val="right"/>
      <w:pPr>
        <w:tabs>
          <w:tab w:val="num" w:pos="2160"/>
        </w:tabs>
        <w:ind w:left="2160" w:hanging="180"/>
      </w:pPr>
    </w:lvl>
    <w:lvl w:ilvl="3" w:tplc="79D0B20E" w:tentative="1">
      <w:start w:val="1"/>
      <w:numFmt w:val="decimal"/>
      <w:lvlText w:val="%4."/>
      <w:lvlJc w:val="left"/>
      <w:pPr>
        <w:tabs>
          <w:tab w:val="num" w:pos="2880"/>
        </w:tabs>
        <w:ind w:left="2880" w:hanging="360"/>
      </w:pPr>
    </w:lvl>
    <w:lvl w:ilvl="4" w:tplc="6AE671C0" w:tentative="1">
      <w:start w:val="1"/>
      <w:numFmt w:val="lowerLetter"/>
      <w:lvlText w:val="%5."/>
      <w:lvlJc w:val="left"/>
      <w:pPr>
        <w:tabs>
          <w:tab w:val="num" w:pos="3600"/>
        </w:tabs>
        <w:ind w:left="3600" w:hanging="360"/>
      </w:pPr>
    </w:lvl>
    <w:lvl w:ilvl="5" w:tplc="736C5626" w:tentative="1">
      <w:start w:val="1"/>
      <w:numFmt w:val="lowerRoman"/>
      <w:lvlText w:val="%6."/>
      <w:lvlJc w:val="right"/>
      <w:pPr>
        <w:tabs>
          <w:tab w:val="num" w:pos="4320"/>
        </w:tabs>
        <w:ind w:left="4320" w:hanging="180"/>
      </w:pPr>
    </w:lvl>
    <w:lvl w:ilvl="6" w:tplc="856CFE3A" w:tentative="1">
      <w:start w:val="1"/>
      <w:numFmt w:val="decimal"/>
      <w:lvlText w:val="%7."/>
      <w:lvlJc w:val="left"/>
      <w:pPr>
        <w:tabs>
          <w:tab w:val="num" w:pos="5040"/>
        </w:tabs>
        <w:ind w:left="5040" w:hanging="360"/>
      </w:pPr>
    </w:lvl>
    <w:lvl w:ilvl="7" w:tplc="A80EA31A" w:tentative="1">
      <w:start w:val="1"/>
      <w:numFmt w:val="lowerLetter"/>
      <w:lvlText w:val="%8."/>
      <w:lvlJc w:val="left"/>
      <w:pPr>
        <w:tabs>
          <w:tab w:val="num" w:pos="5760"/>
        </w:tabs>
        <w:ind w:left="5760" w:hanging="360"/>
      </w:pPr>
    </w:lvl>
    <w:lvl w:ilvl="8" w:tplc="A6EACC38" w:tentative="1">
      <w:start w:val="1"/>
      <w:numFmt w:val="lowerRoman"/>
      <w:lvlText w:val="%9."/>
      <w:lvlJc w:val="right"/>
      <w:pPr>
        <w:tabs>
          <w:tab w:val="num" w:pos="6480"/>
        </w:tabs>
        <w:ind w:left="6480" w:hanging="180"/>
      </w:pPr>
    </w:lvl>
  </w:abstractNum>
  <w:abstractNum w:abstractNumId="3" w15:restartNumberingAfterBreak="0">
    <w:nsid w:val="30F56B22"/>
    <w:multiLevelType w:val="multilevel"/>
    <w:tmpl w:val="6F3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3D66DF"/>
    <w:multiLevelType w:val="multilevel"/>
    <w:tmpl w:val="B14A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A4C44"/>
    <w:multiLevelType w:val="hybridMultilevel"/>
    <w:tmpl w:val="092E92F6"/>
    <w:lvl w:ilvl="0" w:tplc="D108A8D6">
      <w:start w:val="1"/>
      <w:numFmt w:val="decimal"/>
      <w:lvlText w:val="%1."/>
      <w:lvlJc w:val="left"/>
      <w:pPr>
        <w:tabs>
          <w:tab w:val="num" w:pos="720"/>
        </w:tabs>
        <w:ind w:left="720" w:hanging="360"/>
      </w:pPr>
    </w:lvl>
    <w:lvl w:ilvl="1" w:tplc="98A225F4" w:tentative="1">
      <w:start w:val="1"/>
      <w:numFmt w:val="lowerLetter"/>
      <w:lvlText w:val="%2."/>
      <w:lvlJc w:val="left"/>
      <w:pPr>
        <w:tabs>
          <w:tab w:val="num" w:pos="1440"/>
        </w:tabs>
        <w:ind w:left="1440" w:hanging="360"/>
      </w:pPr>
    </w:lvl>
    <w:lvl w:ilvl="2" w:tplc="8BEEB986" w:tentative="1">
      <w:start w:val="1"/>
      <w:numFmt w:val="lowerRoman"/>
      <w:lvlText w:val="%3."/>
      <w:lvlJc w:val="right"/>
      <w:pPr>
        <w:tabs>
          <w:tab w:val="num" w:pos="2160"/>
        </w:tabs>
        <w:ind w:left="2160" w:hanging="180"/>
      </w:pPr>
    </w:lvl>
    <w:lvl w:ilvl="3" w:tplc="D71E5B02" w:tentative="1">
      <w:start w:val="1"/>
      <w:numFmt w:val="decimal"/>
      <w:lvlText w:val="%4."/>
      <w:lvlJc w:val="left"/>
      <w:pPr>
        <w:tabs>
          <w:tab w:val="num" w:pos="2880"/>
        </w:tabs>
        <w:ind w:left="2880" w:hanging="360"/>
      </w:pPr>
    </w:lvl>
    <w:lvl w:ilvl="4" w:tplc="EE9457D4" w:tentative="1">
      <w:start w:val="1"/>
      <w:numFmt w:val="lowerLetter"/>
      <w:lvlText w:val="%5."/>
      <w:lvlJc w:val="left"/>
      <w:pPr>
        <w:tabs>
          <w:tab w:val="num" w:pos="3600"/>
        </w:tabs>
        <w:ind w:left="3600" w:hanging="360"/>
      </w:pPr>
    </w:lvl>
    <w:lvl w:ilvl="5" w:tplc="E3D04D14" w:tentative="1">
      <w:start w:val="1"/>
      <w:numFmt w:val="lowerRoman"/>
      <w:lvlText w:val="%6."/>
      <w:lvlJc w:val="right"/>
      <w:pPr>
        <w:tabs>
          <w:tab w:val="num" w:pos="4320"/>
        </w:tabs>
        <w:ind w:left="4320" w:hanging="180"/>
      </w:pPr>
    </w:lvl>
    <w:lvl w:ilvl="6" w:tplc="78D4BA06" w:tentative="1">
      <w:start w:val="1"/>
      <w:numFmt w:val="decimal"/>
      <w:lvlText w:val="%7."/>
      <w:lvlJc w:val="left"/>
      <w:pPr>
        <w:tabs>
          <w:tab w:val="num" w:pos="5040"/>
        </w:tabs>
        <w:ind w:left="5040" w:hanging="360"/>
      </w:pPr>
    </w:lvl>
    <w:lvl w:ilvl="7" w:tplc="E9D4E858" w:tentative="1">
      <w:start w:val="1"/>
      <w:numFmt w:val="lowerLetter"/>
      <w:lvlText w:val="%8."/>
      <w:lvlJc w:val="left"/>
      <w:pPr>
        <w:tabs>
          <w:tab w:val="num" w:pos="5760"/>
        </w:tabs>
        <w:ind w:left="5760" w:hanging="360"/>
      </w:pPr>
    </w:lvl>
    <w:lvl w:ilvl="8" w:tplc="309E8B12"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5323F"/>
    <w:rsid w:val="000636E1"/>
    <w:rsid w:val="00077016"/>
    <w:rsid w:val="0008352D"/>
    <w:rsid w:val="000A07CE"/>
    <w:rsid w:val="000A2C92"/>
    <w:rsid w:val="000A7238"/>
    <w:rsid w:val="000B0B21"/>
    <w:rsid w:val="000D08A9"/>
    <w:rsid w:val="000E4002"/>
    <w:rsid w:val="000F062C"/>
    <w:rsid w:val="000F3D38"/>
    <w:rsid w:val="00105066"/>
    <w:rsid w:val="00110CBD"/>
    <w:rsid w:val="001357B2"/>
    <w:rsid w:val="00140A2B"/>
    <w:rsid w:val="00151388"/>
    <w:rsid w:val="00151872"/>
    <w:rsid w:val="00160E5F"/>
    <w:rsid w:val="00176CE8"/>
    <w:rsid w:val="001A3BA5"/>
    <w:rsid w:val="001B62C8"/>
    <w:rsid w:val="001D6B3D"/>
    <w:rsid w:val="001E3B1F"/>
    <w:rsid w:val="001F3B21"/>
    <w:rsid w:val="001F5F13"/>
    <w:rsid w:val="001F7BC0"/>
    <w:rsid w:val="00202A77"/>
    <w:rsid w:val="00232E47"/>
    <w:rsid w:val="00251843"/>
    <w:rsid w:val="00256D2F"/>
    <w:rsid w:val="00261D99"/>
    <w:rsid w:val="00262960"/>
    <w:rsid w:val="00271CE5"/>
    <w:rsid w:val="00282020"/>
    <w:rsid w:val="0028576B"/>
    <w:rsid w:val="00285890"/>
    <w:rsid w:val="002934F1"/>
    <w:rsid w:val="00296D93"/>
    <w:rsid w:val="002A4B44"/>
    <w:rsid w:val="002B0E76"/>
    <w:rsid w:val="002C7EEB"/>
    <w:rsid w:val="00304726"/>
    <w:rsid w:val="00315D82"/>
    <w:rsid w:val="00352109"/>
    <w:rsid w:val="003636BF"/>
    <w:rsid w:val="00370AA7"/>
    <w:rsid w:val="00371034"/>
    <w:rsid w:val="0037479F"/>
    <w:rsid w:val="00377950"/>
    <w:rsid w:val="003845B4"/>
    <w:rsid w:val="00387B1A"/>
    <w:rsid w:val="003B5CF4"/>
    <w:rsid w:val="003B7ED7"/>
    <w:rsid w:val="003C3B1D"/>
    <w:rsid w:val="003D0306"/>
    <w:rsid w:val="003E1C74"/>
    <w:rsid w:val="003E7E9E"/>
    <w:rsid w:val="003F3B6F"/>
    <w:rsid w:val="003F4966"/>
    <w:rsid w:val="00416CED"/>
    <w:rsid w:val="00484A06"/>
    <w:rsid w:val="004A2490"/>
    <w:rsid w:val="004A4233"/>
    <w:rsid w:val="004A6A59"/>
    <w:rsid w:val="004B160E"/>
    <w:rsid w:val="004B64C5"/>
    <w:rsid w:val="005149DF"/>
    <w:rsid w:val="00525C18"/>
    <w:rsid w:val="00526246"/>
    <w:rsid w:val="00567106"/>
    <w:rsid w:val="005709F2"/>
    <w:rsid w:val="005916E5"/>
    <w:rsid w:val="00591760"/>
    <w:rsid w:val="005B0438"/>
    <w:rsid w:val="005E1D3C"/>
    <w:rsid w:val="005F3B21"/>
    <w:rsid w:val="006268BE"/>
    <w:rsid w:val="00632253"/>
    <w:rsid w:val="0064011B"/>
    <w:rsid w:val="00641904"/>
    <w:rsid w:val="00642714"/>
    <w:rsid w:val="00643C4E"/>
    <w:rsid w:val="006455CE"/>
    <w:rsid w:val="0065488D"/>
    <w:rsid w:val="006A3DBF"/>
    <w:rsid w:val="006D42D9"/>
    <w:rsid w:val="006E6072"/>
    <w:rsid w:val="006E7FF7"/>
    <w:rsid w:val="006F142E"/>
    <w:rsid w:val="00703601"/>
    <w:rsid w:val="00726463"/>
    <w:rsid w:val="00733017"/>
    <w:rsid w:val="00751D38"/>
    <w:rsid w:val="00775FED"/>
    <w:rsid w:val="00783310"/>
    <w:rsid w:val="00794E63"/>
    <w:rsid w:val="00796240"/>
    <w:rsid w:val="007A4A6D"/>
    <w:rsid w:val="007B7DB7"/>
    <w:rsid w:val="007C22A6"/>
    <w:rsid w:val="007D1BCF"/>
    <w:rsid w:val="007D75CF"/>
    <w:rsid w:val="007E6DC5"/>
    <w:rsid w:val="00806839"/>
    <w:rsid w:val="00862CBA"/>
    <w:rsid w:val="0088043C"/>
    <w:rsid w:val="008906C9"/>
    <w:rsid w:val="008A5918"/>
    <w:rsid w:val="008B2E72"/>
    <w:rsid w:val="008C00F2"/>
    <w:rsid w:val="008C5738"/>
    <w:rsid w:val="008D04F0"/>
    <w:rsid w:val="008F3500"/>
    <w:rsid w:val="009013C7"/>
    <w:rsid w:val="009022B3"/>
    <w:rsid w:val="00915A2B"/>
    <w:rsid w:val="00924E3C"/>
    <w:rsid w:val="00925A8B"/>
    <w:rsid w:val="00930886"/>
    <w:rsid w:val="00943280"/>
    <w:rsid w:val="009612BB"/>
    <w:rsid w:val="00982CDF"/>
    <w:rsid w:val="009A0163"/>
    <w:rsid w:val="009B0295"/>
    <w:rsid w:val="009C5340"/>
    <w:rsid w:val="009E42F2"/>
    <w:rsid w:val="00A05DC7"/>
    <w:rsid w:val="00A125C5"/>
    <w:rsid w:val="00A12D5C"/>
    <w:rsid w:val="00A216AF"/>
    <w:rsid w:val="00A3267F"/>
    <w:rsid w:val="00A36906"/>
    <w:rsid w:val="00A45EAF"/>
    <w:rsid w:val="00A5039D"/>
    <w:rsid w:val="00A5613D"/>
    <w:rsid w:val="00A63766"/>
    <w:rsid w:val="00A65EE7"/>
    <w:rsid w:val="00A70133"/>
    <w:rsid w:val="00A72510"/>
    <w:rsid w:val="00AA47FE"/>
    <w:rsid w:val="00AC5C16"/>
    <w:rsid w:val="00AD5A5B"/>
    <w:rsid w:val="00AE1792"/>
    <w:rsid w:val="00B011EA"/>
    <w:rsid w:val="00B17141"/>
    <w:rsid w:val="00B31575"/>
    <w:rsid w:val="00B63BD4"/>
    <w:rsid w:val="00B677B6"/>
    <w:rsid w:val="00B679D9"/>
    <w:rsid w:val="00B834A8"/>
    <w:rsid w:val="00B84EA5"/>
    <w:rsid w:val="00B8547D"/>
    <w:rsid w:val="00B96CBF"/>
    <w:rsid w:val="00BC2517"/>
    <w:rsid w:val="00BC61EF"/>
    <w:rsid w:val="00BE423F"/>
    <w:rsid w:val="00C250D5"/>
    <w:rsid w:val="00C47F8D"/>
    <w:rsid w:val="00C52DAE"/>
    <w:rsid w:val="00C57EED"/>
    <w:rsid w:val="00C6128F"/>
    <w:rsid w:val="00C81391"/>
    <w:rsid w:val="00C83DCE"/>
    <w:rsid w:val="00C92898"/>
    <w:rsid w:val="00C97222"/>
    <w:rsid w:val="00CE7514"/>
    <w:rsid w:val="00D248DE"/>
    <w:rsid w:val="00D25427"/>
    <w:rsid w:val="00D25438"/>
    <w:rsid w:val="00D31B74"/>
    <w:rsid w:val="00D3564D"/>
    <w:rsid w:val="00D40121"/>
    <w:rsid w:val="00D8542D"/>
    <w:rsid w:val="00DB11E1"/>
    <w:rsid w:val="00DC62F6"/>
    <w:rsid w:val="00DC6A71"/>
    <w:rsid w:val="00DD262F"/>
    <w:rsid w:val="00DD6CC3"/>
    <w:rsid w:val="00DE5B46"/>
    <w:rsid w:val="00E0357D"/>
    <w:rsid w:val="00E10972"/>
    <w:rsid w:val="00E24EC2"/>
    <w:rsid w:val="00E41DBC"/>
    <w:rsid w:val="00E45E9C"/>
    <w:rsid w:val="00E51C0F"/>
    <w:rsid w:val="00E8201C"/>
    <w:rsid w:val="00EC4A59"/>
    <w:rsid w:val="00ED00D1"/>
    <w:rsid w:val="00ED7E82"/>
    <w:rsid w:val="00EF3280"/>
    <w:rsid w:val="00F0025B"/>
    <w:rsid w:val="00F02E53"/>
    <w:rsid w:val="00F164A9"/>
    <w:rsid w:val="00F240BB"/>
    <w:rsid w:val="00F42CE8"/>
    <w:rsid w:val="00F46724"/>
    <w:rsid w:val="00F47F58"/>
    <w:rsid w:val="00F56E17"/>
    <w:rsid w:val="00F57FED"/>
    <w:rsid w:val="00F61EAD"/>
    <w:rsid w:val="00FC794B"/>
    <w:rsid w:val="00FE50F0"/>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36B22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9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3"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8"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7"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0"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3" Type="http://schemas.openxmlformats.org/officeDocument/2006/relationships/header" Target="header2.xml"/><Relationship Id="rId10"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9" Type="http://schemas.openxmlformats.org/officeDocument/2006/relationships/hyperlink" Target="https://ec.europa.eu/transparency/regcomitology/index.cfm?do=search.documentdetail&amp;Dos_ID=16168&amp;DS_ID=57780&amp;Version=1" TargetMode="External"/><Relationship Id="rId4" Type="http://schemas.openxmlformats.org/officeDocument/2006/relationships/settings" Target="settings.xml"/><Relationship Id="rId9"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14" Type="http://schemas.openxmlformats.org/officeDocument/2006/relationships/hyperlink" Target="file:///\\fs\Uporabniki.GCU\Igor.Novak\Documents\Delo%20za%20leto%202013\Poro%C4%8Dila%20Odgovori%202013\Vse%20za%202020\Drugo\2%20pojasnilo%20o%20uvr%C5%A1%C4%8Danju%20monitorjev\Pojasnilo%20o%20uvr%C5%A1%C4%8Danju%20monitorjev%2021_5_2020.doc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4C91-1018-4681-892B-98DC0DFC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5</Pages>
  <Words>2858</Words>
  <Characters>16297</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Kalister</dc:creator>
  <cp:lastModifiedBy>FURS</cp:lastModifiedBy>
  <cp:revision>4</cp:revision>
  <cp:lastPrinted>2010-07-05T10:38:00Z</cp:lastPrinted>
  <dcterms:created xsi:type="dcterms:W3CDTF">2021-05-25T13:04:00Z</dcterms:created>
  <dcterms:modified xsi:type="dcterms:W3CDTF">2021-05-25T13:15:00Z</dcterms:modified>
</cp:coreProperties>
</file>