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90C4" w14:textId="77777777" w:rsidR="007D75CF" w:rsidRDefault="007D75CF" w:rsidP="00CA21A5">
      <w:pPr>
        <w:rPr>
          <w:lang w:val="sl-SI"/>
        </w:rPr>
      </w:pPr>
    </w:p>
    <w:p w14:paraId="6F728F69" w14:textId="77777777" w:rsidR="00273153" w:rsidRDefault="00273153" w:rsidP="00CA21A5">
      <w:pPr>
        <w:rPr>
          <w:lang w:val="sl-SI"/>
        </w:rPr>
      </w:pPr>
    </w:p>
    <w:p w14:paraId="18F491AE" w14:textId="77777777" w:rsidR="00273153" w:rsidRDefault="00273153" w:rsidP="00CA21A5">
      <w:pPr>
        <w:rPr>
          <w:lang w:val="sl-SI"/>
        </w:rPr>
      </w:pPr>
    </w:p>
    <w:p w14:paraId="79856E4A" w14:textId="77777777" w:rsidR="00273153" w:rsidRDefault="00273153" w:rsidP="00CA21A5">
      <w:pPr>
        <w:rPr>
          <w:lang w:val="sl-SI"/>
        </w:rPr>
      </w:pPr>
    </w:p>
    <w:p w14:paraId="0EE501ED" w14:textId="77777777" w:rsidR="00273153" w:rsidRDefault="00273153" w:rsidP="00CA21A5">
      <w:pPr>
        <w:rPr>
          <w:lang w:val="sl-SI"/>
        </w:rPr>
      </w:pPr>
    </w:p>
    <w:p w14:paraId="02878A16" w14:textId="77777777" w:rsidR="00273153" w:rsidRDefault="00273153" w:rsidP="00CA21A5">
      <w:pPr>
        <w:rPr>
          <w:lang w:val="sl-SI"/>
        </w:rPr>
      </w:pPr>
    </w:p>
    <w:p w14:paraId="24C92F2F" w14:textId="77777777" w:rsidR="00273153" w:rsidRDefault="00273153" w:rsidP="00CA21A5">
      <w:pPr>
        <w:rPr>
          <w:lang w:val="sl-SI"/>
        </w:rPr>
      </w:pPr>
    </w:p>
    <w:p w14:paraId="5523D29A" w14:textId="77777777" w:rsidR="00273153" w:rsidRDefault="00273153" w:rsidP="00CA21A5">
      <w:pPr>
        <w:rPr>
          <w:lang w:val="sl-SI"/>
        </w:rPr>
      </w:pPr>
    </w:p>
    <w:p w14:paraId="5A533516" w14:textId="77777777" w:rsidR="00273153" w:rsidRDefault="00273153" w:rsidP="00CA21A5">
      <w:pPr>
        <w:rPr>
          <w:lang w:val="sl-SI"/>
        </w:rPr>
      </w:pPr>
    </w:p>
    <w:p w14:paraId="45287059" w14:textId="77777777" w:rsidR="00273153" w:rsidRDefault="00273153" w:rsidP="00CA21A5">
      <w:pPr>
        <w:rPr>
          <w:lang w:val="sl-SI"/>
        </w:rPr>
      </w:pPr>
    </w:p>
    <w:p w14:paraId="3B6ADAA1" w14:textId="77777777" w:rsidR="00273153" w:rsidRDefault="00273153" w:rsidP="00CA21A5">
      <w:pPr>
        <w:rPr>
          <w:lang w:val="sl-SI"/>
        </w:rPr>
      </w:pPr>
    </w:p>
    <w:p w14:paraId="0D52133B" w14:textId="77777777" w:rsidR="00273153" w:rsidRDefault="007641FC" w:rsidP="00273153">
      <w:pPr>
        <w:jc w:val="center"/>
        <w:rPr>
          <w:b/>
          <w:bCs/>
          <w:sz w:val="56"/>
          <w:szCs w:val="56"/>
          <w:lang w:val="sl-SI"/>
        </w:rPr>
      </w:pPr>
      <w:r>
        <w:rPr>
          <w:b/>
          <w:bCs/>
          <w:sz w:val="56"/>
          <w:szCs w:val="56"/>
          <w:lang w:val="sl-SI"/>
        </w:rPr>
        <w:t xml:space="preserve">R E L I E F  </w:t>
      </w:r>
      <w:proofErr w:type="spellStart"/>
      <w:r>
        <w:rPr>
          <w:b/>
          <w:bCs/>
          <w:sz w:val="56"/>
          <w:szCs w:val="56"/>
          <w:lang w:val="sl-SI"/>
        </w:rPr>
        <w:t>F</w:t>
      </w:r>
      <w:proofErr w:type="spellEnd"/>
      <w:r>
        <w:rPr>
          <w:b/>
          <w:bCs/>
          <w:sz w:val="56"/>
          <w:szCs w:val="56"/>
          <w:lang w:val="sl-SI"/>
        </w:rPr>
        <w:t xml:space="preserve"> R O M  I M P O R T</w:t>
      </w:r>
    </w:p>
    <w:p w14:paraId="20B86F84" w14:textId="77777777" w:rsidR="007641FC" w:rsidRPr="00273153" w:rsidRDefault="007641FC" w:rsidP="00273153">
      <w:pPr>
        <w:jc w:val="center"/>
        <w:rPr>
          <w:b/>
          <w:bCs/>
          <w:sz w:val="56"/>
          <w:szCs w:val="56"/>
          <w:lang w:val="sl-SI"/>
        </w:rPr>
      </w:pPr>
      <w:r>
        <w:rPr>
          <w:b/>
          <w:bCs/>
          <w:sz w:val="56"/>
          <w:szCs w:val="56"/>
          <w:lang w:val="sl-SI"/>
        </w:rPr>
        <w:t xml:space="preserve">D U T I E S </w:t>
      </w:r>
    </w:p>
    <w:p w14:paraId="5E9ACD74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73C8C550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784676A9" w14:textId="77777777" w:rsidR="00273153" w:rsidRPr="00273153" w:rsidRDefault="00273153" w:rsidP="00273153">
      <w:pPr>
        <w:jc w:val="center"/>
        <w:rPr>
          <w:b/>
          <w:bCs/>
          <w:sz w:val="36"/>
          <w:szCs w:val="36"/>
        </w:rPr>
      </w:pPr>
      <w:r w:rsidRPr="00273153">
        <w:rPr>
          <w:b/>
          <w:bCs/>
          <w:sz w:val="36"/>
          <w:szCs w:val="36"/>
        </w:rPr>
        <w:t xml:space="preserve">A detailed description </w:t>
      </w:r>
    </w:p>
    <w:p w14:paraId="4243211D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245A28C8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31DB52EE" w14:textId="77777777" w:rsidR="00273153" w:rsidRDefault="00273153" w:rsidP="00273153">
      <w:pPr>
        <w:rPr>
          <w:b/>
          <w:bCs/>
          <w:sz w:val="48"/>
          <w:szCs w:val="48"/>
          <w:lang w:val="sl-SI"/>
        </w:rPr>
      </w:pPr>
    </w:p>
    <w:p w14:paraId="460938DF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6AD796A1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6BBA9399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6FBD512F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4CE07AF9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5ADA88E2" w14:textId="77777777" w:rsidR="00273153" w:rsidRDefault="00273153" w:rsidP="00273153">
      <w:pPr>
        <w:jc w:val="center"/>
        <w:rPr>
          <w:b/>
          <w:bCs/>
          <w:sz w:val="48"/>
          <w:szCs w:val="48"/>
          <w:lang w:val="sl-SI"/>
        </w:rPr>
      </w:pPr>
    </w:p>
    <w:p w14:paraId="0CC22B8F" w14:textId="77777777" w:rsidR="00273153" w:rsidRPr="00273153" w:rsidRDefault="00273153" w:rsidP="00273153">
      <w:pPr>
        <w:rPr>
          <w:b/>
          <w:bCs/>
          <w:sz w:val="48"/>
          <w:szCs w:val="48"/>
        </w:rPr>
      </w:pPr>
    </w:p>
    <w:p w14:paraId="100DBE2E" w14:textId="77777777" w:rsidR="00273153" w:rsidRDefault="00273153" w:rsidP="00273153">
      <w:pPr>
        <w:jc w:val="center"/>
        <w:rPr>
          <w:b/>
          <w:bCs/>
          <w:sz w:val="28"/>
          <w:szCs w:val="28"/>
        </w:rPr>
      </w:pPr>
      <w:r w:rsidRPr="00273153">
        <w:rPr>
          <w:b/>
          <w:bCs/>
          <w:sz w:val="32"/>
          <w:szCs w:val="32"/>
        </w:rPr>
        <w:t>2</w:t>
      </w:r>
      <w:r w:rsidRPr="00273153">
        <w:rPr>
          <w:b/>
          <w:bCs/>
          <w:sz w:val="28"/>
          <w:szCs w:val="28"/>
          <w:vertAlign w:val="superscript"/>
        </w:rPr>
        <w:t xml:space="preserve">nd </w:t>
      </w:r>
      <w:r w:rsidRPr="00273153">
        <w:rPr>
          <w:b/>
          <w:bCs/>
          <w:sz w:val="28"/>
          <w:szCs w:val="28"/>
        </w:rPr>
        <w:t xml:space="preserve">version </w:t>
      </w:r>
      <w:r w:rsidR="00B7017A">
        <w:rPr>
          <w:b/>
          <w:bCs/>
          <w:sz w:val="28"/>
          <w:szCs w:val="28"/>
        </w:rPr>
        <w:t>AUGUST</w:t>
      </w:r>
      <w:r w:rsidRPr="00273153">
        <w:rPr>
          <w:b/>
          <w:bCs/>
          <w:sz w:val="28"/>
          <w:szCs w:val="28"/>
        </w:rPr>
        <w:t xml:space="preserve"> 2024</w:t>
      </w:r>
    </w:p>
    <w:p w14:paraId="7A45AB25" w14:textId="77777777" w:rsidR="00273153" w:rsidRDefault="00273153" w:rsidP="00273153">
      <w:pPr>
        <w:jc w:val="center"/>
        <w:rPr>
          <w:b/>
          <w:bCs/>
          <w:sz w:val="28"/>
          <w:szCs w:val="28"/>
        </w:rPr>
      </w:pPr>
    </w:p>
    <w:p w14:paraId="5DC3B2BC" w14:textId="77777777" w:rsidR="00273153" w:rsidRDefault="00273153" w:rsidP="00273153">
      <w:pPr>
        <w:rPr>
          <w:b/>
          <w:sz w:val="24"/>
        </w:rPr>
      </w:pPr>
      <w:r w:rsidRPr="00557E3A">
        <w:rPr>
          <w:b/>
          <w:sz w:val="24"/>
        </w:rPr>
        <w:lastRenderedPageBreak/>
        <w:t>CONTENTS</w:t>
      </w:r>
    </w:p>
    <w:sdt>
      <w:sdtPr>
        <w:rPr>
          <w:rFonts w:ascii="Arial" w:eastAsia="Times New Roman" w:hAnsi="Arial" w:cs="Times New Roman"/>
          <w:color w:val="auto"/>
          <w:sz w:val="20"/>
          <w:szCs w:val="24"/>
          <w:lang w:val="en-US" w:eastAsia="en-US"/>
        </w:rPr>
        <w:id w:val="10293838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ACBFB9" w14:textId="77777777" w:rsidR="00187141" w:rsidRDefault="00187141">
          <w:pPr>
            <w:pStyle w:val="NaslovTOC"/>
          </w:pPr>
        </w:p>
        <w:p w14:paraId="7943E57C" w14:textId="77777777" w:rsidR="00F066A5" w:rsidRDefault="00187141">
          <w:pPr>
            <w:pStyle w:val="Kazalovsebine1"/>
            <w:tabs>
              <w:tab w:val="left" w:pos="440"/>
              <w:tab w:val="right" w:leader="dot" w:pos="8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r w:rsidRPr="00187141">
            <w:rPr>
              <w:rFonts w:cs="Arial"/>
            </w:rPr>
            <w:fldChar w:fldCharType="begin"/>
          </w:r>
          <w:r w:rsidRPr="00187141">
            <w:rPr>
              <w:rFonts w:cs="Arial"/>
            </w:rPr>
            <w:instrText xml:space="preserve"> TOC \o "1-3" \h \z \u </w:instrText>
          </w:r>
          <w:r w:rsidRPr="00187141">
            <w:rPr>
              <w:rFonts w:cs="Arial"/>
            </w:rPr>
            <w:fldChar w:fldCharType="separate"/>
          </w:r>
          <w:hyperlink w:anchor="_Toc173499464" w:history="1">
            <w:r w:rsidR="00F066A5" w:rsidRPr="006B6AB4">
              <w:rPr>
                <w:rStyle w:val="Hiperpovezava"/>
                <w:noProof/>
              </w:rPr>
              <w:t>1.</w:t>
            </w:r>
            <w:r w:rsidR="00F066A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="00F066A5" w:rsidRPr="006B6AB4">
              <w:rPr>
                <w:rStyle w:val="Hiperpovezava"/>
                <w:noProof/>
              </w:rPr>
              <w:t>Reliefs from customs duty</w:t>
            </w:r>
            <w:r w:rsidR="00F066A5">
              <w:rPr>
                <w:noProof/>
                <w:webHidden/>
              </w:rPr>
              <w:tab/>
            </w:r>
            <w:r w:rsidR="00F066A5">
              <w:rPr>
                <w:noProof/>
                <w:webHidden/>
              </w:rPr>
              <w:fldChar w:fldCharType="begin"/>
            </w:r>
            <w:r w:rsidR="00F066A5">
              <w:rPr>
                <w:noProof/>
                <w:webHidden/>
              </w:rPr>
              <w:instrText xml:space="preserve"> PAGEREF _Toc173499464 \h </w:instrText>
            </w:r>
            <w:r w:rsidR="00F066A5">
              <w:rPr>
                <w:noProof/>
                <w:webHidden/>
              </w:rPr>
            </w:r>
            <w:r w:rsidR="00F066A5">
              <w:rPr>
                <w:noProof/>
                <w:webHidden/>
              </w:rPr>
              <w:fldChar w:fldCharType="separate"/>
            </w:r>
            <w:r w:rsidR="00F066A5">
              <w:rPr>
                <w:noProof/>
                <w:webHidden/>
              </w:rPr>
              <w:t>3</w:t>
            </w:r>
            <w:r w:rsidR="00F066A5">
              <w:rPr>
                <w:noProof/>
                <w:webHidden/>
              </w:rPr>
              <w:fldChar w:fldCharType="end"/>
            </w:r>
          </w:hyperlink>
        </w:p>
        <w:p w14:paraId="3CC7B89D" w14:textId="77777777" w:rsidR="00F066A5" w:rsidRDefault="00F066A5">
          <w:pPr>
            <w:pStyle w:val="Kazalovsebine1"/>
            <w:tabs>
              <w:tab w:val="left" w:pos="440"/>
              <w:tab w:val="right" w:leader="dot" w:pos="8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l-SI" w:eastAsia="sl-SI"/>
            </w:rPr>
          </w:pPr>
          <w:hyperlink w:anchor="_Toc173499465" w:history="1">
            <w:r w:rsidRPr="006B6AB4">
              <w:rPr>
                <w:rStyle w:val="Hiperpovezav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l-SI" w:eastAsia="sl-SI"/>
              </w:rPr>
              <w:tab/>
            </w:r>
            <w:r w:rsidRPr="006B6AB4">
              <w:rPr>
                <w:rStyle w:val="Hiperpovezava"/>
                <w:noProof/>
              </w:rPr>
              <w:t xml:space="preserve">Tax exemptions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_Toc173499465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B7FD7" w14:textId="77777777" w:rsidR="00187141" w:rsidRDefault="00187141">
          <w:r w:rsidRPr="00187141">
            <w:rPr>
              <w:rFonts w:cs="Arial"/>
              <w:b/>
              <w:bCs/>
            </w:rPr>
            <w:fldChar w:fldCharType="end"/>
          </w:r>
        </w:p>
      </w:sdtContent>
    </w:sdt>
    <w:p w14:paraId="55241BFE" w14:textId="77777777" w:rsidR="00273153" w:rsidRDefault="00273153" w:rsidP="00273153">
      <w:pPr>
        <w:rPr>
          <w:b/>
          <w:sz w:val="24"/>
        </w:rPr>
      </w:pPr>
    </w:p>
    <w:p w14:paraId="6552C4A6" w14:textId="77777777" w:rsidR="00273153" w:rsidRDefault="00273153" w:rsidP="00273153">
      <w:pPr>
        <w:rPr>
          <w:b/>
          <w:sz w:val="24"/>
        </w:rPr>
      </w:pPr>
    </w:p>
    <w:p w14:paraId="334F0B4B" w14:textId="77777777" w:rsidR="00273153" w:rsidRDefault="00273153" w:rsidP="00273153">
      <w:pPr>
        <w:rPr>
          <w:b/>
          <w:sz w:val="24"/>
        </w:rPr>
      </w:pPr>
    </w:p>
    <w:p w14:paraId="7A7100CD" w14:textId="77777777" w:rsidR="00273153" w:rsidRDefault="00273153" w:rsidP="00273153">
      <w:pPr>
        <w:rPr>
          <w:b/>
          <w:sz w:val="24"/>
        </w:rPr>
      </w:pPr>
    </w:p>
    <w:p w14:paraId="5C38C064" w14:textId="77777777" w:rsidR="00273153" w:rsidRDefault="00273153" w:rsidP="00273153">
      <w:pPr>
        <w:rPr>
          <w:b/>
          <w:sz w:val="24"/>
        </w:rPr>
      </w:pPr>
    </w:p>
    <w:p w14:paraId="0839A95A" w14:textId="77777777" w:rsidR="00273153" w:rsidRDefault="00273153" w:rsidP="00273153">
      <w:pPr>
        <w:rPr>
          <w:b/>
          <w:sz w:val="24"/>
        </w:rPr>
      </w:pPr>
    </w:p>
    <w:p w14:paraId="2722A030" w14:textId="77777777" w:rsidR="00273153" w:rsidRDefault="00273153" w:rsidP="00273153">
      <w:pPr>
        <w:rPr>
          <w:b/>
          <w:sz w:val="24"/>
        </w:rPr>
      </w:pPr>
    </w:p>
    <w:p w14:paraId="766817A4" w14:textId="77777777" w:rsidR="00273153" w:rsidRDefault="00273153" w:rsidP="00273153">
      <w:pPr>
        <w:rPr>
          <w:b/>
          <w:sz w:val="24"/>
        </w:rPr>
      </w:pPr>
    </w:p>
    <w:p w14:paraId="125FF65A" w14:textId="77777777" w:rsidR="00273153" w:rsidRDefault="00273153" w:rsidP="00273153">
      <w:pPr>
        <w:rPr>
          <w:b/>
          <w:sz w:val="24"/>
        </w:rPr>
      </w:pPr>
    </w:p>
    <w:p w14:paraId="067A9345" w14:textId="77777777" w:rsidR="00273153" w:rsidRDefault="00273153" w:rsidP="00273153">
      <w:pPr>
        <w:rPr>
          <w:b/>
          <w:sz w:val="24"/>
        </w:rPr>
      </w:pPr>
    </w:p>
    <w:p w14:paraId="277076DD" w14:textId="77777777" w:rsidR="00273153" w:rsidRDefault="00273153" w:rsidP="00273153">
      <w:pPr>
        <w:rPr>
          <w:b/>
          <w:sz w:val="24"/>
        </w:rPr>
      </w:pPr>
    </w:p>
    <w:p w14:paraId="208CC9FD" w14:textId="77777777" w:rsidR="00273153" w:rsidRDefault="00273153" w:rsidP="00273153">
      <w:pPr>
        <w:rPr>
          <w:b/>
          <w:sz w:val="24"/>
        </w:rPr>
      </w:pPr>
    </w:p>
    <w:p w14:paraId="542DB03F" w14:textId="77777777" w:rsidR="00273153" w:rsidRDefault="00273153" w:rsidP="00273153">
      <w:pPr>
        <w:rPr>
          <w:b/>
          <w:sz w:val="24"/>
        </w:rPr>
      </w:pPr>
    </w:p>
    <w:p w14:paraId="77CF49B5" w14:textId="77777777" w:rsidR="00273153" w:rsidRDefault="00273153" w:rsidP="00273153">
      <w:pPr>
        <w:rPr>
          <w:b/>
          <w:sz w:val="24"/>
        </w:rPr>
      </w:pPr>
    </w:p>
    <w:p w14:paraId="664BA960" w14:textId="77777777" w:rsidR="00273153" w:rsidRDefault="00273153" w:rsidP="00273153">
      <w:pPr>
        <w:rPr>
          <w:b/>
          <w:sz w:val="24"/>
        </w:rPr>
      </w:pPr>
    </w:p>
    <w:p w14:paraId="7FADB531" w14:textId="77777777" w:rsidR="00273153" w:rsidRDefault="00273153" w:rsidP="00273153">
      <w:pPr>
        <w:rPr>
          <w:b/>
          <w:sz w:val="24"/>
        </w:rPr>
      </w:pPr>
    </w:p>
    <w:p w14:paraId="460D1987" w14:textId="77777777" w:rsidR="00273153" w:rsidRDefault="00273153" w:rsidP="00273153">
      <w:pPr>
        <w:rPr>
          <w:b/>
          <w:sz w:val="24"/>
        </w:rPr>
      </w:pPr>
    </w:p>
    <w:p w14:paraId="7F992C47" w14:textId="77777777" w:rsidR="00273153" w:rsidRDefault="00273153" w:rsidP="00273153">
      <w:pPr>
        <w:rPr>
          <w:b/>
          <w:sz w:val="24"/>
        </w:rPr>
      </w:pPr>
    </w:p>
    <w:p w14:paraId="324490A3" w14:textId="77777777" w:rsidR="00273153" w:rsidRDefault="00273153" w:rsidP="00273153">
      <w:pPr>
        <w:rPr>
          <w:b/>
          <w:sz w:val="24"/>
        </w:rPr>
      </w:pPr>
    </w:p>
    <w:p w14:paraId="0B6D85F9" w14:textId="77777777" w:rsidR="00273153" w:rsidRDefault="00273153" w:rsidP="00273153">
      <w:pPr>
        <w:rPr>
          <w:b/>
          <w:sz w:val="24"/>
        </w:rPr>
      </w:pPr>
    </w:p>
    <w:p w14:paraId="03B96340" w14:textId="77777777" w:rsidR="00273153" w:rsidRDefault="00273153" w:rsidP="00273153">
      <w:pPr>
        <w:rPr>
          <w:b/>
          <w:sz w:val="24"/>
        </w:rPr>
      </w:pPr>
    </w:p>
    <w:p w14:paraId="7A212DCB" w14:textId="77777777" w:rsidR="00273153" w:rsidRDefault="00273153" w:rsidP="00273153">
      <w:pPr>
        <w:rPr>
          <w:b/>
          <w:sz w:val="24"/>
        </w:rPr>
      </w:pPr>
    </w:p>
    <w:p w14:paraId="65E6B0A4" w14:textId="77777777" w:rsidR="00273153" w:rsidRDefault="00273153" w:rsidP="00273153">
      <w:pPr>
        <w:rPr>
          <w:b/>
          <w:sz w:val="24"/>
        </w:rPr>
      </w:pPr>
    </w:p>
    <w:p w14:paraId="5E1372FF" w14:textId="77777777" w:rsidR="00273153" w:rsidRDefault="00273153" w:rsidP="00273153">
      <w:pPr>
        <w:rPr>
          <w:b/>
          <w:sz w:val="24"/>
        </w:rPr>
      </w:pPr>
    </w:p>
    <w:p w14:paraId="2B2F7E4C" w14:textId="77777777" w:rsidR="00273153" w:rsidRDefault="00273153" w:rsidP="00273153">
      <w:pPr>
        <w:rPr>
          <w:b/>
          <w:sz w:val="24"/>
        </w:rPr>
      </w:pPr>
    </w:p>
    <w:p w14:paraId="580D0565" w14:textId="77777777" w:rsidR="00273153" w:rsidRDefault="00273153" w:rsidP="00273153">
      <w:pPr>
        <w:rPr>
          <w:b/>
          <w:sz w:val="24"/>
        </w:rPr>
      </w:pPr>
    </w:p>
    <w:p w14:paraId="0694E117" w14:textId="77777777" w:rsidR="00273153" w:rsidRDefault="00273153" w:rsidP="00273153">
      <w:pPr>
        <w:rPr>
          <w:b/>
          <w:sz w:val="24"/>
        </w:rPr>
      </w:pPr>
    </w:p>
    <w:p w14:paraId="188BEA54" w14:textId="77777777" w:rsidR="00273153" w:rsidRDefault="00273153" w:rsidP="00273153">
      <w:pPr>
        <w:rPr>
          <w:b/>
          <w:sz w:val="24"/>
        </w:rPr>
      </w:pPr>
    </w:p>
    <w:p w14:paraId="4AA94A1E" w14:textId="77777777" w:rsidR="00273153" w:rsidRDefault="00273153" w:rsidP="00273153">
      <w:pPr>
        <w:rPr>
          <w:b/>
          <w:sz w:val="24"/>
        </w:rPr>
      </w:pPr>
    </w:p>
    <w:p w14:paraId="5B8D442D" w14:textId="77777777" w:rsidR="00273153" w:rsidRDefault="00273153" w:rsidP="00273153">
      <w:pPr>
        <w:rPr>
          <w:b/>
          <w:sz w:val="24"/>
        </w:rPr>
      </w:pPr>
    </w:p>
    <w:p w14:paraId="557D6609" w14:textId="77777777" w:rsidR="00273153" w:rsidRDefault="00273153" w:rsidP="00273153">
      <w:pPr>
        <w:rPr>
          <w:b/>
          <w:sz w:val="24"/>
        </w:rPr>
      </w:pPr>
    </w:p>
    <w:p w14:paraId="46C0527E" w14:textId="77777777" w:rsidR="00273153" w:rsidRDefault="00273153" w:rsidP="00273153">
      <w:pPr>
        <w:rPr>
          <w:b/>
          <w:sz w:val="24"/>
        </w:rPr>
      </w:pPr>
    </w:p>
    <w:p w14:paraId="5B2982D7" w14:textId="77777777" w:rsidR="00273153" w:rsidRDefault="00273153" w:rsidP="00273153">
      <w:pPr>
        <w:rPr>
          <w:b/>
          <w:sz w:val="24"/>
        </w:rPr>
      </w:pPr>
    </w:p>
    <w:p w14:paraId="628D4E7E" w14:textId="77777777" w:rsidR="00273153" w:rsidRDefault="00273153" w:rsidP="00273153">
      <w:pPr>
        <w:rPr>
          <w:b/>
          <w:sz w:val="24"/>
        </w:rPr>
      </w:pPr>
    </w:p>
    <w:p w14:paraId="62091030" w14:textId="77777777" w:rsidR="00273153" w:rsidRDefault="00273153" w:rsidP="00273153">
      <w:pPr>
        <w:rPr>
          <w:b/>
          <w:sz w:val="24"/>
        </w:rPr>
      </w:pPr>
    </w:p>
    <w:p w14:paraId="10BEE82B" w14:textId="77777777" w:rsidR="00273153" w:rsidRDefault="00273153" w:rsidP="00273153">
      <w:pPr>
        <w:rPr>
          <w:b/>
          <w:sz w:val="24"/>
        </w:rPr>
      </w:pPr>
    </w:p>
    <w:p w14:paraId="06DD6E39" w14:textId="77777777" w:rsidR="00273153" w:rsidRDefault="00273153" w:rsidP="00273153">
      <w:pPr>
        <w:rPr>
          <w:b/>
          <w:sz w:val="24"/>
        </w:rPr>
      </w:pPr>
    </w:p>
    <w:p w14:paraId="77DA47D0" w14:textId="77777777" w:rsidR="00273153" w:rsidRDefault="00273153" w:rsidP="00273153">
      <w:pPr>
        <w:rPr>
          <w:b/>
          <w:sz w:val="24"/>
        </w:rPr>
      </w:pPr>
    </w:p>
    <w:p w14:paraId="0C01DEDE" w14:textId="77777777" w:rsidR="00273153" w:rsidRDefault="00273153" w:rsidP="00273153">
      <w:pPr>
        <w:rPr>
          <w:b/>
          <w:sz w:val="24"/>
        </w:rPr>
      </w:pPr>
    </w:p>
    <w:p w14:paraId="3ECF9821" w14:textId="77777777" w:rsidR="00273153" w:rsidRDefault="00273153" w:rsidP="00273153">
      <w:pPr>
        <w:rPr>
          <w:b/>
          <w:sz w:val="24"/>
        </w:rPr>
      </w:pPr>
    </w:p>
    <w:p w14:paraId="3D0C0DA5" w14:textId="77777777" w:rsidR="00273153" w:rsidRDefault="00273153" w:rsidP="00273153">
      <w:pPr>
        <w:rPr>
          <w:b/>
          <w:sz w:val="24"/>
        </w:rPr>
      </w:pPr>
    </w:p>
    <w:p w14:paraId="12743CC0" w14:textId="77777777" w:rsidR="00273153" w:rsidRDefault="00273153" w:rsidP="00273153">
      <w:pPr>
        <w:rPr>
          <w:b/>
          <w:sz w:val="24"/>
        </w:rPr>
      </w:pPr>
    </w:p>
    <w:p w14:paraId="104B4202" w14:textId="77777777" w:rsidR="00273153" w:rsidRDefault="00273153" w:rsidP="00273153">
      <w:pPr>
        <w:rPr>
          <w:b/>
          <w:sz w:val="24"/>
        </w:rPr>
      </w:pPr>
    </w:p>
    <w:p w14:paraId="322FF94E" w14:textId="6293C025" w:rsidR="00273153" w:rsidRPr="002A04F8" w:rsidRDefault="00306126" w:rsidP="002A04F8">
      <w:pPr>
        <w:pStyle w:val="Naslov1"/>
        <w:numPr>
          <w:ilvl w:val="0"/>
          <w:numId w:val="8"/>
        </w:numPr>
        <w:rPr>
          <w:lang w:val="en-US"/>
        </w:rPr>
      </w:pPr>
      <w:bookmarkStart w:id="0" w:name="_Toc173499464"/>
      <w:r>
        <w:rPr>
          <w:lang w:val="en-US"/>
        </w:rPr>
        <w:lastRenderedPageBreak/>
        <w:t>Reliefs from customs duty</w:t>
      </w:r>
      <w:bookmarkEnd w:id="0"/>
    </w:p>
    <w:p w14:paraId="757BF01D" w14:textId="77777777" w:rsidR="00273153" w:rsidRPr="00273153" w:rsidRDefault="00273153" w:rsidP="00273153">
      <w:pPr>
        <w:rPr>
          <w:lang w:val="sl-SI" w:eastAsia="sl-SI"/>
        </w:rPr>
      </w:pPr>
    </w:p>
    <w:p w14:paraId="2EB76D04" w14:textId="77777777" w:rsidR="00273153" w:rsidRDefault="00273153" w:rsidP="00273153">
      <w:pPr>
        <w:jc w:val="both"/>
        <w:rPr>
          <w:rFonts w:cs="Arial"/>
          <w:sz w:val="24"/>
        </w:rPr>
      </w:pPr>
      <w:r w:rsidRPr="00273153">
        <w:rPr>
          <w:rFonts w:cs="Arial"/>
          <w:sz w:val="24"/>
        </w:rPr>
        <w:t>In addition to tariff exemptions, which fall under the customs tariff area, European customs law also recognizes non-tariff exemptions. The characteristic of non-tariff exemptions is that they often require a specific purpose for the use of goods or a condition for claiming the benefit. Customs authorities may require additional information and documents to prove the right to customs exemption.</w:t>
      </w:r>
    </w:p>
    <w:p w14:paraId="4DDDFC42" w14:textId="77777777" w:rsidR="00E303B1" w:rsidRPr="00273153" w:rsidRDefault="00E303B1" w:rsidP="00273153">
      <w:pPr>
        <w:jc w:val="both"/>
        <w:rPr>
          <w:rFonts w:cs="Arial"/>
          <w:sz w:val="24"/>
        </w:rPr>
      </w:pPr>
    </w:p>
    <w:p w14:paraId="58234698" w14:textId="765D4979" w:rsidR="00273153" w:rsidRDefault="00273153" w:rsidP="00273153">
      <w:pPr>
        <w:jc w:val="both"/>
        <w:rPr>
          <w:rFonts w:cs="Arial"/>
          <w:sz w:val="24"/>
        </w:rPr>
      </w:pPr>
      <w:r w:rsidRPr="00273153">
        <w:rPr>
          <w:rFonts w:cs="Arial"/>
          <w:sz w:val="24"/>
        </w:rPr>
        <w:t xml:space="preserve">Customs authorities do not determine customs exemptions ex officio, so, for example, failure to claim a </w:t>
      </w:r>
      <w:r w:rsidR="00845B4F">
        <w:rPr>
          <w:rFonts w:cs="Arial"/>
          <w:sz w:val="24"/>
        </w:rPr>
        <w:t xml:space="preserve">relief from </w:t>
      </w:r>
      <w:r w:rsidRPr="00273153">
        <w:rPr>
          <w:rFonts w:cs="Arial"/>
          <w:sz w:val="24"/>
        </w:rPr>
        <w:t xml:space="preserve">customs </w:t>
      </w:r>
      <w:r w:rsidR="00845B4F">
        <w:rPr>
          <w:rFonts w:cs="Arial"/>
          <w:sz w:val="24"/>
        </w:rPr>
        <w:t>duty</w:t>
      </w:r>
      <w:r w:rsidRPr="00273153">
        <w:rPr>
          <w:rFonts w:cs="Arial"/>
          <w:sz w:val="24"/>
        </w:rPr>
        <w:t xml:space="preserve"> cannot be a reason for a refund or remission of customs duties.</w:t>
      </w:r>
    </w:p>
    <w:p w14:paraId="5C580E28" w14:textId="77777777" w:rsidR="00E303B1" w:rsidRPr="00273153" w:rsidRDefault="00E303B1" w:rsidP="00273153">
      <w:pPr>
        <w:jc w:val="both"/>
        <w:rPr>
          <w:rFonts w:cs="Arial"/>
          <w:sz w:val="24"/>
        </w:rPr>
      </w:pPr>
    </w:p>
    <w:p w14:paraId="392405AC" w14:textId="77777777" w:rsidR="00273153" w:rsidRPr="00273153" w:rsidRDefault="00273153" w:rsidP="00273153">
      <w:pPr>
        <w:jc w:val="both"/>
        <w:rPr>
          <w:rFonts w:cs="Arial"/>
          <w:sz w:val="24"/>
        </w:rPr>
      </w:pPr>
      <w:r w:rsidRPr="00273153">
        <w:rPr>
          <w:rFonts w:cs="Arial"/>
          <w:sz w:val="24"/>
        </w:rPr>
        <w:t>Non-tariff exemptions are divided into:</w:t>
      </w:r>
    </w:p>
    <w:p w14:paraId="35FA7BF7" w14:textId="73D8A43C" w:rsidR="00273153" w:rsidRPr="00273153" w:rsidRDefault="00845B4F" w:rsidP="0027315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="00273153" w:rsidRPr="00273153">
        <w:rPr>
          <w:rFonts w:ascii="Arial" w:hAnsi="Arial" w:cs="Arial"/>
          <w:sz w:val="24"/>
          <w:szCs w:val="24"/>
          <w:lang w:val="en-US"/>
        </w:rPr>
        <w:t xml:space="preserve">ustoms exemptions based on </w:t>
      </w:r>
      <w:hyperlink r:id="rId12" w:history="1">
        <w:r w:rsidR="00273153" w:rsidRPr="00845B4F">
          <w:rPr>
            <w:rStyle w:val="Hiperpovezava"/>
            <w:rFonts w:ascii="Arial" w:hAnsi="Arial" w:cs="Arial"/>
            <w:sz w:val="24"/>
            <w:szCs w:val="24"/>
            <w:lang w:val="en-US"/>
          </w:rPr>
          <w:t>Council Regulation No. 1186/2009</w:t>
        </w:r>
      </w:hyperlink>
      <w:r w:rsidR="00273153" w:rsidRPr="00273153">
        <w:rPr>
          <w:rFonts w:ascii="Arial" w:hAnsi="Arial" w:cs="Arial"/>
          <w:sz w:val="24"/>
          <w:szCs w:val="24"/>
          <w:lang w:val="en-US"/>
        </w:rPr>
        <w:t>,</w:t>
      </w:r>
    </w:p>
    <w:p w14:paraId="65727C75" w14:textId="5921869C" w:rsidR="00273153" w:rsidRPr="00273153" w:rsidRDefault="00845B4F" w:rsidP="0027315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="00273153" w:rsidRPr="00273153">
        <w:rPr>
          <w:rFonts w:ascii="Arial" w:hAnsi="Arial" w:cs="Arial"/>
          <w:sz w:val="24"/>
          <w:szCs w:val="24"/>
          <w:lang w:val="en-US"/>
        </w:rPr>
        <w:t>ustoms exemptions for re-imported goods in accordance with Article 203 of the Union Customs Code (Regulation (EU) No. 952/2013),</w:t>
      </w:r>
    </w:p>
    <w:p w14:paraId="741D8A83" w14:textId="7635EF67" w:rsidR="00273153" w:rsidRPr="00273153" w:rsidRDefault="00845B4F" w:rsidP="0027315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="00273153" w:rsidRPr="00273153">
        <w:rPr>
          <w:rFonts w:ascii="Arial" w:hAnsi="Arial" w:cs="Arial"/>
          <w:sz w:val="24"/>
          <w:szCs w:val="24"/>
          <w:lang w:val="en-US"/>
        </w:rPr>
        <w:t>ustoms exemptions for marine products in accordance with Article 208 of the Union Customs Code (Regulation (EU) No. 952/2013).</w:t>
      </w:r>
    </w:p>
    <w:p w14:paraId="2C57C704" w14:textId="0E2E2F5E" w:rsidR="00273153" w:rsidRPr="002A04F8" w:rsidRDefault="00273153" w:rsidP="002A04F8">
      <w:pPr>
        <w:pStyle w:val="Naslov1"/>
        <w:numPr>
          <w:ilvl w:val="0"/>
          <w:numId w:val="8"/>
        </w:numPr>
        <w:rPr>
          <w:lang w:val="en-US"/>
        </w:rPr>
      </w:pPr>
      <w:bookmarkStart w:id="1" w:name="_Toc173499465"/>
      <w:r w:rsidRPr="002A04F8">
        <w:rPr>
          <w:lang w:val="en-US"/>
        </w:rPr>
        <w:t>T</w:t>
      </w:r>
      <w:r w:rsidR="002A04F8" w:rsidRPr="002A04F8">
        <w:rPr>
          <w:lang w:val="en-US"/>
        </w:rPr>
        <w:t xml:space="preserve">ax exemptions </w:t>
      </w:r>
      <w:bookmarkEnd w:id="1"/>
      <w:r w:rsidR="00306126">
        <w:rPr>
          <w:lang w:val="en-US"/>
        </w:rPr>
        <w:t xml:space="preserve"> </w:t>
      </w:r>
    </w:p>
    <w:p w14:paraId="3E7AAF02" w14:textId="77777777" w:rsidR="00273153" w:rsidRPr="00273153" w:rsidRDefault="00273153" w:rsidP="00273153">
      <w:pPr>
        <w:rPr>
          <w:lang w:val="sl-SI" w:eastAsia="sl-SI"/>
        </w:rPr>
      </w:pPr>
    </w:p>
    <w:p w14:paraId="0398AF4E" w14:textId="2B1E1061" w:rsidR="00273153" w:rsidRDefault="00273153" w:rsidP="00273153">
      <w:pPr>
        <w:jc w:val="both"/>
        <w:rPr>
          <w:rFonts w:cs="Arial"/>
          <w:sz w:val="24"/>
        </w:rPr>
      </w:pPr>
      <w:r w:rsidRPr="00273153">
        <w:rPr>
          <w:rFonts w:cs="Arial"/>
          <w:sz w:val="24"/>
        </w:rPr>
        <w:t xml:space="preserve">Goods </w:t>
      </w:r>
      <w:r w:rsidR="00845B4F">
        <w:rPr>
          <w:rFonts w:cs="Arial"/>
          <w:sz w:val="24"/>
        </w:rPr>
        <w:t xml:space="preserve">relieved </w:t>
      </w:r>
      <w:r w:rsidRPr="00273153">
        <w:rPr>
          <w:rFonts w:cs="Arial"/>
          <w:sz w:val="24"/>
        </w:rPr>
        <w:t>from customs duties are, in most cases, also exempt from VAT upon importation or release for free circulation.</w:t>
      </w:r>
    </w:p>
    <w:p w14:paraId="1389F311" w14:textId="77777777" w:rsidR="00E303B1" w:rsidRPr="00273153" w:rsidRDefault="00E303B1" w:rsidP="00273153">
      <w:pPr>
        <w:jc w:val="both"/>
        <w:rPr>
          <w:rFonts w:cs="Arial"/>
          <w:sz w:val="24"/>
        </w:rPr>
      </w:pPr>
    </w:p>
    <w:p w14:paraId="2E3EA1B4" w14:textId="77777777" w:rsidR="00273153" w:rsidRPr="00273153" w:rsidRDefault="00273153" w:rsidP="00273153">
      <w:pPr>
        <w:jc w:val="both"/>
        <w:rPr>
          <w:rFonts w:cs="Arial"/>
          <w:sz w:val="24"/>
        </w:rPr>
      </w:pPr>
      <w:r w:rsidRPr="00273153">
        <w:rPr>
          <w:rFonts w:cs="Arial"/>
          <w:sz w:val="24"/>
        </w:rPr>
        <w:t>The following regulations govern VAT exemptions upon importation or release for free circulation of imported goods:</w:t>
      </w:r>
    </w:p>
    <w:p w14:paraId="33CE37A7" w14:textId="77777777" w:rsidR="00273153" w:rsidRPr="00273153" w:rsidRDefault="00273153" w:rsidP="0027315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73153">
        <w:rPr>
          <w:rFonts w:ascii="Arial" w:hAnsi="Arial" w:cs="Arial"/>
          <w:sz w:val="24"/>
          <w:szCs w:val="24"/>
          <w:lang w:val="en-US"/>
        </w:rPr>
        <w:t>Value Added Tax Act (ZDDV-1)</w:t>
      </w:r>
      <w:r w:rsidR="00845B4F">
        <w:rPr>
          <w:rFonts w:ascii="Arial" w:hAnsi="Arial" w:cs="Arial"/>
          <w:sz w:val="24"/>
          <w:szCs w:val="24"/>
          <w:lang w:val="en-US"/>
        </w:rPr>
        <w:t>,</w:t>
      </w:r>
    </w:p>
    <w:p w14:paraId="0939E387" w14:textId="77777777" w:rsidR="00273153" w:rsidRPr="00273153" w:rsidRDefault="00273153" w:rsidP="0027315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73153">
        <w:rPr>
          <w:rFonts w:ascii="Arial" w:hAnsi="Arial" w:cs="Arial"/>
          <w:sz w:val="24"/>
          <w:szCs w:val="24"/>
          <w:lang w:val="en-US"/>
        </w:rPr>
        <w:t>Rules on the conditions and manner of claiming exemptions under Article 51 of the Value Added Tax Act,</w:t>
      </w:r>
    </w:p>
    <w:p w14:paraId="0CDA6E10" w14:textId="77777777" w:rsidR="00273153" w:rsidRPr="00273153" w:rsidRDefault="00273153" w:rsidP="0027315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73153">
        <w:rPr>
          <w:rFonts w:ascii="Arial" w:hAnsi="Arial" w:cs="Arial"/>
          <w:sz w:val="24"/>
          <w:szCs w:val="24"/>
          <w:lang w:val="en-US"/>
        </w:rPr>
        <w:t>Rules on claiming exemptions from value-added tax and excise duties on the import of goods for persons traveling from third countries,</w:t>
      </w:r>
    </w:p>
    <w:p w14:paraId="32BD223F" w14:textId="77777777" w:rsidR="00273153" w:rsidRPr="00273153" w:rsidRDefault="00273153" w:rsidP="0027315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73153">
        <w:rPr>
          <w:rFonts w:ascii="Arial" w:hAnsi="Arial" w:cs="Arial"/>
          <w:sz w:val="24"/>
          <w:szCs w:val="24"/>
          <w:lang w:val="en-US"/>
        </w:rPr>
        <w:t>Rules on the conditions and manner of exemption from duties for diplomatic missions, consulates, and international organizations in accordance with international treaties binding Slovenia.</w:t>
      </w:r>
    </w:p>
    <w:p w14:paraId="1CD79AD6" w14:textId="7CC6E9FC" w:rsidR="00273153" w:rsidRPr="00273153" w:rsidRDefault="00273153" w:rsidP="00273153">
      <w:pPr>
        <w:jc w:val="both"/>
        <w:rPr>
          <w:rFonts w:cs="Arial"/>
          <w:sz w:val="24"/>
        </w:rPr>
      </w:pPr>
      <w:r w:rsidRPr="00273153">
        <w:rPr>
          <w:rFonts w:cs="Arial"/>
          <w:sz w:val="24"/>
        </w:rPr>
        <w:t xml:space="preserve">Examples and procedures for claiming the right to </w:t>
      </w:r>
      <w:r w:rsidR="00190BF4">
        <w:rPr>
          <w:rFonts w:cs="Arial"/>
          <w:sz w:val="24"/>
        </w:rPr>
        <w:t>relieve</w:t>
      </w:r>
      <w:r w:rsidR="00190BF4" w:rsidRPr="00273153">
        <w:rPr>
          <w:rFonts w:cs="Arial"/>
          <w:sz w:val="24"/>
        </w:rPr>
        <w:t xml:space="preserve"> </w:t>
      </w:r>
      <w:r w:rsidRPr="00273153">
        <w:rPr>
          <w:rFonts w:cs="Arial"/>
          <w:sz w:val="24"/>
        </w:rPr>
        <w:t xml:space="preserve">from import duties and other duties payable upon importation are addressed in the Instruction on claiming the right to </w:t>
      </w:r>
      <w:r w:rsidR="00F066A5">
        <w:rPr>
          <w:rFonts w:cs="Arial"/>
          <w:sz w:val="24"/>
        </w:rPr>
        <w:t>relieve</w:t>
      </w:r>
      <w:r w:rsidR="00F066A5" w:rsidRPr="00273153">
        <w:rPr>
          <w:rFonts w:cs="Arial"/>
          <w:sz w:val="24"/>
        </w:rPr>
        <w:t xml:space="preserve"> </w:t>
      </w:r>
      <w:r w:rsidRPr="00273153">
        <w:rPr>
          <w:rFonts w:cs="Arial"/>
          <w:sz w:val="24"/>
        </w:rPr>
        <w:t>from import duties and other duties payable upon importation, No. 2/2019.</w:t>
      </w:r>
    </w:p>
    <w:p w14:paraId="165BD651" w14:textId="77777777" w:rsidR="00273153" w:rsidRPr="00273153" w:rsidRDefault="00273153" w:rsidP="00273153">
      <w:pPr>
        <w:rPr>
          <w:sz w:val="24"/>
        </w:rPr>
      </w:pPr>
    </w:p>
    <w:sectPr w:rsidR="00273153" w:rsidRPr="00273153" w:rsidSect="00783310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6C13" w14:textId="77777777" w:rsidR="00244B2E" w:rsidRDefault="00244B2E">
      <w:r>
        <w:separator/>
      </w:r>
    </w:p>
  </w:endnote>
  <w:endnote w:type="continuationSeparator" w:id="0">
    <w:p w14:paraId="0AAAF145" w14:textId="77777777" w:rsidR="00244B2E" w:rsidRDefault="0024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EDE4" w14:textId="77777777" w:rsidR="002819A6" w:rsidRDefault="002819A6" w:rsidP="002819A6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F066A5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F066A5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90F3" w14:textId="77777777" w:rsidR="002819A6" w:rsidRDefault="002819A6" w:rsidP="002819A6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F066A5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F066A5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28EA" w14:textId="77777777" w:rsidR="00244B2E" w:rsidRDefault="00244B2E">
      <w:r>
        <w:separator/>
      </w:r>
    </w:p>
  </w:footnote>
  <w:footnote w:type="continuationSeparator" w:id="0">
    <w:p w14:paraId="12FEE6F5" w14:textId="77777777" w:rsidR="00244B2E" w:rsidRDefault="0024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C908" w14:textId="77777777" w:rsidR="000D3F38" w:rsidRPr="00110CBD" w:rsidRDefault="000D3F3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D3F38" w:rsidRPr="008F3500" w14:paraId="3BD337A6" w14:textId="77777777">
      <w:trPr>
        <w:cantSplit/>
        <w:trHeight w:hRule="exact" w:val="847"/>
      </w:trPr>
      <w:tc>
        <w:tcPr>
          <w:tcW w:w="567" w:type="dxa"/>
        </w:tcPr>
        <w:p w14:paraId="2B7ED58C" w14:textId="77777777" w:rsidR="000D3F38" w:rsidRPr="008F3500" w:rsidRDefault="000D3F3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</w:tc>
    </w:tr>
  </w:tbl>
  <w:p w14:paraId="310AA257" w14:textId="77777777" w:rsidR="000D3F38" w:rsidRPr="008F3500" w:rsidRDefault="000234D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AFC3200" wp14:editId="7816FD6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2AE17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0D3F38" w:rsidRPr="008F3500">
      <w:rPr>
        <w:rFonts w:ascii="Republika" w:hAnsi="Republika"/>
        <w:lang w:val="sl-SI"/>
      </w:rPr>
      <w:t>REPUBLI</w:t>
    </w:r>
    <w:r w:rsidR="000D3F38">
      <w:rPr>
        <w:rFonts w:ascii="Republika" w:hAnsi="Republika"/>
        <w:lang w:val="sl-SI"/>
      </w:rPr>
      <w:t>C OF SLOVENI</w:t>
    </w:r>
    <w:r w:rsidR="000D3F38" w:rsidRPr="008F3500">
      <w:rPr>
        <w:rFonts w:ascii="Republika" w:hAnsi="Republika"/>
        <w:lang w:val="sl-SI"/>
      </w:rPr>
      <w:t>A</w:t>
    </w:r>
  </w:p>
  <w:p w14:paraId="00029E94" w14:textId="77777777" w:rsidR="000D3F38" w:rsidRPr="00CA21A5" w:rsidRDefault="00FF5E88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CA21A5">
      <w:rPr>
        <w:rFonts w:ascii="Republika" w:hAnsi="Republika"/>
        <w:b/>
        <w:caps/>
        <w:lang w:val="sl-SI"/>
      </w:rPr>
      <w:t>Ministry of Finance</w:t>
    </w:r>
  </w:p>
  <w:p w14:paraId="7F8A455D" w14:textId="77777777" w:rsidR="00961A8A" w:rsidRDefault="00C7408E" w:rsidP="00961A8A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FINANCIAL</w:t>
    </w:r>
    <w:r w:rsidR="00FF5E88">
      <w:rPr>
        <w:rFonts w:ascii="Republika" w:hAnsi="Republika"/>
        <w:caps/>
        <w:lang w:val="sl-SI"/>
      </w:rPr>
      <w:t xml:space="preserve"> Administration of the Republic of Slovenia</w:t>
    </w:r>
  </w:p>
  <w:p w14:paraId="76940A6D" w14:textId="77777777" w:rsidR="002169BB" w:rsidRPr="00273153" w:rsidRDefault="00B34C76" w:rsidP="002169B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it-IT"/>
      </w:rPr>
    </w:pPr>
    <w:r w:rsidRPr="00273153">
      <w:rPr>
        <w:rFonts w:ascii="Republika" w:hAnsi="Republika"/>
        <w:lang w:val="it-IT"/>
      </w:rPr>
      <w:t>General Financial</w:t>
    </w:r>
    <w:r w:rsidR="002169BB" w:rsidRPr="00273153">
      <w:rPr>
        <w:rFonts w:ascii="Republika" w:hAnsi="Republika"/>
        <w:lang w:val="it-IT"/>
      </w:rPr>
      <w:t xml:space="preserve"> </w:t>
    </w:r>
    <w:r w:rsidR="00435890" w:rsidRPr="00273153">
      <w:rPr>
        <w:rFonts w:ascii="Republika" w:hAnsi="Republika"/>
        <w:lang w:val="it-IT"/>
      </w:rPr>
      <w:t>Office</w:t>
    </w:r>
  </w:p>
  <w:p w14:paraId="2860F927" w14:textId="77777777" w:rsidR="002169BB" w:rsidRPr="008F3500" w:rsidRDefault="00435890" w:rsidP="002169B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PO </w:t>
    </w:r>
    <w:proofErr w:type="spellStart"/>
    <w:r>
      <w:rPr>
        <w:rFonts w:cs="Arial"/>
        <w:sz w:val="16"/>
        <w:lang w:val="sl-SI"/>
      </w:rPr>
      <w:t>Box</w:t>
    </w:r>
    <w:proofErr w:type="spellEnd"/>
    <w:r w:rsidR="002169BB">
      <w:rPr>
        <w:rFonts w:cs="Arial"/>
        <w:sz w:val="16"/>
        <w:lang w:val="sl-SI"/>
      </w:rPr>
      <w:t xml:space="preserve"> 631</w:t>
    </w:r>
    <w:r w:rsidR="002169BB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SI-</w:t>
    </w:r>
    <w:r w:rsidR="002169BB">
      <w:rPr>
        <w:rFonts w:cs="Arial"/>
        <w:sz w:val="16"/>
        <w:lang w:val="sl-SI"/>
      </w:rPr>
      <w:t>1001 Ljubljana</w:t>
    </w:r>
    <w:r>
      <w:rPr>
        <w:rFonts w:cs="Arial"/>
        <w:sz w:val="16"/>
        <w:lang w:val="sl-SI"/>
      </w:rPr>
      <w:t xml:space="preserve">, </w:t>
    </w:r>
    <w:proofErr w:type="spellStart"/>
    <w:r>
      <w:rPr>
        <w:rFonts w:cs="Arial"/>
        <w:sz w:val="16"/>
        <w:lang w:val="sl-SI"/>
      </w:rPr>
      <w:t>Slovenia</w:t>
    </w:r>
    <w:proofErr w:type="spellEnd"/>
    <w:r w:rsidR="002169BB" w:rsidRPr="008F3500">
      <w:rPr>
        <w:rFonts w:cs="Arial"/>
        <w:sz w:val="16"/>
        <w:lang w:val="sl-SI"/>
      </w:rPr>
      <w:tab/>
      <w:t xml:space="preserve">T: </w:t>
    </w:r>
    <w:r w:rsidR="001B42D8" w:rsidRPr="001B42D8">
      <w:rPr>
        <w:rFonts w:cs="Arial"/>
        <w:sz w:val="16"/>
        <w:lang w:val="sl-SI"/>
      </w:rPr>
      <w:t xml:space="preserve">+386 1 478 </w:t>
    </w:r>
    <w:r w:rsidR="001B42D8">
      <w:rPr>
        <w:rFonts w:cs="Arial"/>
        <w:sz w:val="16"/>
        <w:lang w:val="sl-SI"/>
      </w:rPr>
      <w:t>38</w:t>
    </w:r>
    <w:r w:rsidR="001B42D8" w:rsidRPr="001B42D8">
      <w:rPr>
        <w:rFonts w:cs="Arial"/>
        <w:sz w:val="16"/>
        <w:lang w:val="sl-SI"/>
      </w:rPr>
      <w:t xml:space="preserve"> 00</w:t>
    </w:r>
  </w:p>
  <w:p w14:paraId="2B4302E5" w14:textId="77777777" w:rsidR="002169BB" w:rsidRPr="008F3500" w:rsidRDefault="002169BB" w:rsidP="002169B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B42D8" w:rsidRPr="001B42D8">
      <w:rPr>
        <w:rFonts w:cs="Arial"/>
        <w:sz w:val="16"/>
        <w:lang w:val="sl-SI"/>
      </w:rPr>
      <w:t xml:space="preserve">+386 1 478 </w:t>
    </w:r>
    <w:r w:rsidR="001B42D8">
      <w:rPr>
        <w:rFonts w:cs="Arial"/>
        <w:sz w:val="16"/>
        <w:lang w:val="sl-SI"/>
      </w:rPr>
      <w:t>39</w:t>
    </w:r>
    <w:r w:rsidR="001B42D8" w:rsidRPr="001B42D8">
      <w:rPr>
        <w:rFonts w:cs="Arial"/>
        <w:sz w:val="16"/>
        <w:lang w:val="sl-SI"/>
      </w:rPr>
      <w:t xml:space="preserve"> 00</w:t>
    </w:r>
  </w:p>
  <w:p w14:paraId="44D2C7BC" w14:textId="77777777" w:rsidR="002169BB" w:rsidRPr="008F3500" w:rsidRDefault="002169BB" w:rsidP="002169B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B42D8">
      <w:rPr>
        <w:rFonts w:cs="Arial"/>
        <w:sz w:val="16"/>
        <w:lang w:val="sl-SI"/>
      </w:rPr>
      <w:t>gfu.fu</w:t>
    </w:r>
    <w:r>
      <w:rPr>
        <w:rFonts w:cs="Arial"/>
        <w:sz w:val="16"/>
        <w:lang w:val="sl-SI"/>
      </w:rPr>
      <w:t>@gov.si</w:t>
    </w:r>
  </w:p>
  <w:p w14:paraId="65454824" w14:textId="77777777" w:rsidR="002169BB" w:rsidRPr="008F3500" w:rsidRDefault="002169BB" w:rsidP="002169B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B42D8">
      <w:rPr>
        <w:rFonts w:cs="Arial"/>
        <w:sz w:val="16"/>
        <w:lang w:val="sl-SI"/>
      </w:rPr>
      <w:t>www.fu</w:t>
    </w:r>
    <w:r>
      <w:rPr>
        <w:rFonts w:cs="Arial"/>
        <w:sz w:val="16"/>
        <w:lang w:val="sl-SI"/>
      </w:rPr>
      <w:t>.gov.si</w:t>
    </w:r>
  </w:p>
  <w:p w14:paraId="2DED8CE8" w14:textId="77777777" w:rsidR="000D3F38" w:rsidRPr="008F3500" w:rsidRDefault="000D3F38" w:rsidP="002169B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56D0F"/>
    <w:multiLevelType w:val="hybridMultilevel"/>
    <w:tmpl w:val="A120BA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B1B24"/>
    <w:multiLevelType w:val="hybridMultilevel"/>
    <w:tmpl w:val="CEA4E28C"/>
    <w:lvl w:ilvl="0" w:tplc="C6786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4C9C"/>
    <w:multiLevelType w:val="multilevel"/>
    <w:tmpl w:val="24D0ABD0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7631171">
    <w:abstractNumId w:val="5"/>
  </w:num>
  <w:num w:numId="2" w16cid:durableId="167524037">
    <w:abstractNumId w:val="3"/>
  </w:num>
  <w:num w:numId="3" w16cid:durableId="1798570830">
    <w:abstractNumId w:val="4"/>
  </w:num>
  <w:num w:numId="4" w16cid:durableId="930356851">
    <w:abstractNumId w:val="0"/>
  </w:num>
  <w:num w:numId="5" w16cid:durableId="1590696669">
    <w:abstractNumId w:val="2"/>
  </w:num>
  <w:num w:numId="6" w16cid:durableId="425005981">
    <w:abstractNumId w:val="6"/>
  </w:num>
  <w:num w:numId="7" w16cid:durableId="1950231766">
    <w:abstractNumId w:val="7"/>
  </w:num>
  <w:num w:numId="8" w16cid:durableId="175370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D4"/>
    <w:rsid w:val="000234D4"/>
    <w:rsid w:val="00023A88"/>
    <w:rsid w:val="000420DF"/>
    <w:rsid w:val="00052424"/>
    <w:rsid w:val="000A7238"/>
    <w:rsid w:val="000D3F38"/>
    <w:rsid w:val="000E2D1E"/>
    <w:rsid w:val="001022BE"/>
    <w:rsid w:val="001357B2"/>
    <w:rsid w:val="001840EE"/>
    <w:rsid w:val="00187141"/>
    <w:rsid w:val="00190BF4"/>
    <w:rsid w:val="001B42D8"/>
    <w:rsid w:val="00200A34"/>
    <w:rsid w:val="00202A77"/>
    <w:rsid w:val="002169BB"/>
    <w:rsid w:val="00244B2E"/>
    <w:rsid w:val="00246DF9"/>
    <w:rsid w:val="00271CE5"/>
    <w:rsid w:val="00273153"/>
    <w:rsid w:val="002819A6"/>
    <w:rsid w:val="00282020"/>
    <w:rsid w:val="002A04F8"/>
    <w:rsid w:val="002B7196"/>
    <w:rsid w:val="00306126"/>
    <w:rsid w:val="003636BF"/>
    <w:rsid w:val="003845B4"/>
    <w:rsid w:val="00387B1A"/>
    <w:rsid w:val="003D78AE"/>
    <w:rsid w:val="003E1C74"/>
    <w:rsid w:val="003E20FB"/>
    <w:rsid w:val="00435890"/>
    <w:rsid w:val="004E7D72"/>
    <w:rsid w:val="00526246"/>
    <w:rsid w:val="00567106"/>
    <w:rsid w:val="00572122"/>
    <w:rsid w:val="005760AD"/>
    <w:rsid w:val="005E1D3C"/>
    <w:rsid w:val="00632253"/>
    <w:rsid w:val="00642714"/>
    <w:rsid w:val="006455CE"/>
    <w:rsid w:val="006623F1"/>
    <w:rsid w:val="00733017"/>
    <w:rsid w:val="00747C0D"/>
    <w:rsid w:val="00760FDD"/>
    <w:rsid w:val="007641FC"/>
    <w:rsid w:val="00783310"/>
    <w:rsid w:val="007A4A6D"/>
    <w:rsid w:val="007B66F8"/>
    <w:rsid w:val="007D1BCF"/>
    <w:rsid w:val="007D75CF"/>
    <w:rsid w:val="007E6DC5"/>
    <w:rsid w:val="00824004"/>
    <w:rsid w:val="00845B4F"/>
    <w:rsid w:val="0088043C"/>
    <w:rsid w:val="008906C9"/>
    <w:rsid w:val="008C1493"/>
    <w:rsid w:val="008C5738"/>
    <w:rsid w:val="008D04F0"/>
    <w:rsid w:val="008F3500"/>
    <w:rsid w:val="00924E3C"/>
    <w:rsid w:val="00940D51"/>
    <w:rsid w:val="009612BB"/>
    <w:rsid w:val="00961A8A"/>
    <w:rsid w:val="009E093E"/>
    <w:rsid w:val="00A125C5"/>
    <w:rsid w:val="00A5039D"/>
    <w:rsid w:val="00A65EE7"/>
    <w:rsid w:val="00A70133"/>
    <w:rsid w:val="00A744D7"/>
    <w:rsid w:val="00B17141"/>
    <w:rsid w:val="00B31575"/>
    <w:rsid w:val="00B34C76"/>
    <w:rsid w:val="00B561D8"/>
    <w:rsid w:val="00B7017A"/>
    <w:rsid w:val="00B8547D"/>
    <w:rsid w:val="00C250D5"/>
    <w:rsid w:val="00C445F1"/>
    <w:rsid w:val="00C7408E"/>
    <w:rsid w:val="00C92898"/>
    <w:rsid w:val="00CA21A5"/>
    <w:rsid w:val="00CE7514"/>
    <w:rsid w:val="00CF20E8"/>
    <w:rsid w:val="00D16275"/>
    <w:rsid w:val="00D248DE"/>
    <w:rsid w:val="00D42820"/>
    <w:rsid w:val="00D8542D"/>
    <w:rsid w:val="00DC6A71"/>
    <w:rsid w:val="00DE48AE"/>
    <w:rsid w:val="00DE5B46"/>
    <w:rsid w:val="00E0357D"/>
    <w:rsid w:val="00E303B1"/>
    <w:rsid w:val="00E54428"/>
    <w:rsid w:val="00E8415E"/>
    <w:rsid w:val="00EC1391"/>
    <w:rsid w:val="00EF1759"/>
    <w:rsid w:val="00F066A5"/>
    <w:rsid w:val="00F12B03"/>
    <w:rsid w:val="00F240BB"/>
    <w:rsid w:val="00F2548F"/>
    <w:rsid w:val="00F57FED"/>
    <w:rsid w:val="00FC0BEE"/>
    <w:rsid w:val="00FE7E39"/>
    <w:rsid w:val="00FF5E8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27DB916"/>
  <w15:docId w15:val="{C5507A6E-2068-4CFD-B989-DD85ED24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731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l-SI"/>
      <w14:ligatures w14:val="standardContextual"/>
    </w:rPr>
  </w:style>
  <w:style w:type="character" w:styleId="Besedilooznabemesta">
    <w:name w:val="Placeholder Text"/>
    <w:basedOn w:val="Privzetapisavaodstavka"/>
    <w:uiPriority w:val="99"/>
    <w:semiHidden/>
    <w:rsid w:val="00273153"/>
    <w:rPr>
      <w:color w:val="808080"/>
    </w:rPr>
  </w:style>
  <w:style w:type="paragraph" w:styleId="NaslovTOC">
    <w:name w:val="TOC Heading"/>
    <w:basedOn w:val="Naslov1"/>
    <w:next w:val="Navaden"/>
    <w:uiPriority w:val="39"/>
    <w:unhideWhenUsed/>
    <w:qFormat/>
    <w:rsid w:val="001871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rsid w:val="00187141"/>
    <w:pPr>
      <w:spacing w:after="100"/>
    </w:pPr>
  </w:style>
  <w:style w:type="paragraph" w:styleId="Besedilooblaka">
    <w:name w:val="Balloon Text"/>
    <w:basedOn w:val="Navaden"/>
    <w:link w:val="BesedilooblakaZnak"/>
    <w:rsid w:val="00F06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066A5"/>
    <w:rPr>
      <w:rFonts w:ascii="Segoe UI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0420D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-lex.europa.eu/legal-content/EN/TXT/PDF/?uri=CELEX:32009R1186&amp;qid=172259811727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CB1A98A986741AE2D7BFC796FF7FF" ma:contentTypeVersion="3" ma:contentTypeDescription="Ustvari nov dokument." ma:contentTypeScope="" ma:versionID="6476c3b0d0c5cd4b161a28f1d1dfa305">
  <xsd:schema xmlns:xsd="http://www.w3.org/2001/XMLSchema" xmlns:xs="http://www.w3.org/2001/XMLSchema" xmlns:p="http://schemas.microsoft.com/office/2006/metadata/properties" xmlns:ns2="f6616d4a-3781-4adc-a06c-60c453a00097" xmlns:ns3="26193fc4-38e1-40f3-8403-efc2519196bb" targetNamespace="http://schemas.microsoft.com/office/2006/metadata/properties" ma:root="true" ma:fieldsID="9c4182915a66f7d0230e3e5cc9123988" ns2:_="" ns3:_="">
    <xsd:import namespace="f6616d4a-3781-4adc-a06c-60c453a00097"/>
    <xsd:import namespace="26193fc4-38e1-40f3-8403-efc2519196bb"/>
    <xsd:element name="properties">
      <xsd:complexType>
        <xsd:sequence>
          <xsd:element name="documentManagement">
            <xsd:complexType>
              <xsd:all>
                <xsd:element ref="ns2:Urad" minOccurs="0"/>
                <xsd:element ref="ns2:D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16d4a-3781-4adc-a06c-60c453a00097" elementFormDefault="qualified">
    <xsd:import namespace="http://schemas.microsoft.com/office/2006/documentManagement/types"/>
    <xsd:import namespace="http://schemas.microsoft.com/office/infopath/2007/PartnerControls"/>
    <xsd:element name="Urad" ma:index="4" nillable="true" ma:displayName="Urad" ma:internalName="Urad" ma:readOnly="false">
      <xsd:simpleType>
        <xsd:restriction base="dms:Text">
          <xsd:maxLength value="255"/>
        </xsd:restriction>
      </xsd:simpleType>
    </xsd:element>
    <xsd:element name="DT" ma:index="5" nillable="true" ma:displayName="DT" ma:default="1" ma:internalName="D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3fc4-38e1-40f3-8403-efc2519196b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1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ad xmlns="f6616d4a-3781-4adc-a06c-60c453a00097">GFU</Urad>
    <DT xmlns="f6616d4a-3781-4adc-a06c-60c453a00097" xsi:nil="true"/>
    <_dlc_DocId xmlns="26193fc4-38e1-40f3-8403-efc2519196bb">47T7AYJDZKZ5-469220573-10</_dlc_DocId>
    <_dlc_DocIdUrl xmlns="26193fc4-38e1-40f3-8403-efc2519196bb">
      <Url>https://intra.ad.sigov.si/sites/005-maks-projekti/EDS/_layouts/15/DocIdRedir.aspx?ID=47T7AYJDZKZ5-469220573-10</Url>
      <Description>47T7AYJDZKZ5-469220573-10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8092-025F-450E-8D0E-9BA7E49B4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22145-D585-4E3B-B590-808E837F97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D45185-1DF4-4D73-95EE-7711CCC45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16d4a-3781-4adc-a06c-60c453a00097"/>
    <ds:schemaRef ds:uri="26193fc4-38e1-40f3-8403-efc251919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D5FD6-89E7-43D7-928A-BBFDCE35913E}">
  <ds:schemaRefs>
    <ds:schemaRef ds:uri="http://schemas.microsoft.com/office/2006/metadata/properties"/>
    <ds:schemaRef ds:uri="http://schemas.microsoft.com/office/infopath/2007/PartnerControls"/>
    <ds:schemaRef ds:uri="f6616d4a-3781-4adc-a06c-60c453a00097"/>
    <ds:schemaRef ds:uri="26193fc4-38e1-40f3-8403-efc2519196bb"/>
  </ds:schemaRefs>
</ds:datastoreItem>
</file>

<file path=customXml/itemProps5.xml><?xml version="1.0" encoding="utf-8"?>
<ds:datastoreItem xmlns:ds="http://schemas.openxmlformats.org/officeDocument/2006/customXml" ds:itemID="{DBB7B236-9ACB-424E-BCF1-6BB94B30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Number:</vt:lpstr>
      <vt:lpstr>Number: 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Number:</dc:title>
  <dc:creator>Tomaž Lavrič</dc:creator>
  <cp:lastModifiedBy>Anja Ivančič</cp:lastModifiedBy>
  <cp:revision>2</cp:revision>
  <cp:lastPrinted>2011-01-20T09:46:00Z</cp:lastPrinted>
  <dcterms:created xsi:type="dcterms:W3CDTF">2024-08-06T13:03:00Z</dcterms:created>
  <dcterms:modified xsi:type="dcterms:W3CDTF">2024-08-06T13:03:00Z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0x0101003D3CB1A98A986741AE2D7BFC796FF7FF</vt:lpwstr>
  </property>
  <property fmtid="{D5CDD505-2E9C-101B-9397-08002B2CF9AE}" pid="3" name="Order">
    <vt:r8>12800</vt:r8>
  </property>
  <property fmtid="{D5CDD505-2E9C-101B-9397-08002B2CF9AE}" pid="4" name="_dlc_DocIdItemGuid">
    <vt:lpwstr>880f93a7-1e9f-46eb-93f5-7867b80748a8</vt:lpwstr>
  </property>
</Properties>
</file>