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8CE8" w14:textId="77777777" w:rsidR="007D75CF" w:rsidRPr="00F52594" w:rsidRDefault="007D75CF" w:rsidP="00CA21A5"/>
    <w:p w14:paraId="5D3674A1" w14:textId="77777777" w:rsidR="00273153" w:rsidRPr="00F52594" w:rsidRDefault="00273153" w:rsidP="00CA21A5"/>
    <w:p w14:paraId="68D1D718" w14:textId="77777777" w:rsidR="00273153" w:rsidRPr="00F52594" w:rsidRDefault="00273153" w:rsidP="00CA21A5"/>
    <w:p w14:paraId="03D1E9A0" w14:textId="77777777" w:rsidR="00273153" w:rsidRPr="00F52594" w:rsidRDefault="00273153" w:rsidP="00CA21A5"/>
    <w:p w14:paraId="36420EEA" w14:textId="77777777" w:rsidR="00273153" w:rsidRPr="00F52594" w:rsidRDefault="00273153" w:rsidP="00CA21A5"/>
    <w:p w14:paraId="686D5789" w14:textId="77777777" w:rsidR="00273153" w:rsidRPr="00F52594" w:rsidRDefault="00273153" w:rsidP="00CA21A5"/>
    <w:p w14:paraId="0F9E4638" w14:textId="77777777" w:rsidR="00273153" w:rsidRPr="00F52594" w:rsidRDefault="00273153" w:rsidP="00CA21A5"/>
    <w:p w14:paraId="10CE219C" w14:textId="77777777" w:rsidR="00273153" w:rsidRPr="00F52594" w:rsidRDefault="00273153" w:rsidP="00CA21A5"/>
    <w:p w14:paraId="553D43BB" w14:textId="77777777" w:rsidR="00273153" w:rsidRPr="00F52594" w:rsidRDefault="00273153" w:rsidP="00CA21A5"/>
    <w:p w14:paraId="47AEEC07" w14:textId="77777777" w:rsidR="00273153" w:rsidRPr="00F52594" w:rsidRDefault="00273153" w:rsidP="00CA21A5"/>
    <w:p w14:paraId="004116E1" w14:textId="77777777" w:rsidR="00273153" w:rsidRPr="00F52594" w:rsidRDefault="00273153" w:rsidP="00CA21A5"/>
    <w:p w14:paraId="6C4F02A5" w14:textId="42118E41" w:rsidR="00273153" w:rsidRPr="003A7960" w:rsidRDefault="00273153" w:rsidP="00273153">
      <w:pPr>
        <w:jc w:val="center"/>
        <w:rPr>
          <w:b/>
          <w:bCs/>
          <w:sz w:val="52"/>
          <w:szCs w:val="52"/>
          <w:lang w:val="it-IT"/>
        </w:rPr>
      </w:pPr>
      <w:r w:rsidRPr="003A7960">
        <w:rPr>
          <w:b/>
          <w:bCs/>
          <w:sz w:val="52"/>
          <w:szCs w:val="52"/>
          <w:lang w:val="it-IT"/>
        </w:rPr>
        <w:t xml:space="preserve">I M P O R T </w:t>
      </w:r>
      <w:r w:rsidR="00020B3F">
        <w:rPr>
          <w:b/>
          <w:bCs/>
          <w:sz w:val="52"/>
          <w:szCs w:val="52"/>
          <w:lang w:val="it-IT"/>
        </w:rPr>
        <w:t xml:space="preserve"> </w:t>
      </w:r>
      <w:r w:rsidRPr="003A7960">
        <w:rPr>
          <w:b/>
          <w:bCs/>
          <w:sz w:val="52"/>
          <w:szCs w:val="52"/>
          <w:lang w:val="it-IT"/>
        </w:rPr>
        <w:t xml:space="preserve">  </w:t>
      </w:r>
      <w:r w:rsidR="00166ACE" w:rsidRPr="003A7960">
        <w:rPr>
          <w:b/>
          <w:bCs/>
          <w:sz w:val="52"/>
          <w:szCs w:val="52"/>
          <w:lang w:val="it-IT"/>
        </w:rPr>
        <w:t>P R O C E D U R E S</w:t>
      </w:r>
    </w:p>
    <w:p w14:paraId="0B1A9E6A" w14:textId="77777777" w:rsidR="00273153" w:rsidRPr="003A7960" w:rsidRDefault="00273153" w:rsidP="00273153">
      <w:pPr>
        <w:jc w:val="center"/>
        <w:rPr>
          <w:b/>
          <w:bCs/>
          <w:sz w:val="48"/>
          <w:szCs w:val="48"/>
          <w:lang w:val="it-IT"/>
        </w:rPr>
      </w:pPr>
    </w:p>
    <w:p w14:paraId="72980BB8" w14:textId="77777777" w:rsidR="00273153" w:rsidRPr="003A7960" w:rsidRDefault="00273153" w:rsidP="00273153">
      <w:pPr>
        <w:jc w:val="center"/>
        <w:rPr>
          <w:b/>
          <w:bCs/>
          <w:sz w:val="48"/>
          <w:szCs w:val="48"/>
          <w:lang w:val="it-IT"/>
        </w:rPr>
      </w:pPr>
    </w:p>
    <w:p w14:paraId="689FDBD6" w14:textId="61FF3483" w:rsidR="00273153" w:rsidRPr="00F52594" w:rsidRDefault="00273153" w:rsidP="00273153">
      <w:pPr>
        <w:jc w:val="center"/>
        <w:rPr>
          <w:b/>
          <w:bCs/>
          <w:sz w:val="36"/>
          <w:szCs w:val="36"/>
        </w:rPr>
      </w:pPr>
      <w:r w:rsidRPr="00F52594">
        <w:rPr>
          <w:b/>
          <w:bCs/>
          <w:sz w:val="36"/>
          <w:szCs w:val="36"/>
        </w:rPr>
        <w:t xml:space="preserve">A detailed description </w:t>
      </w:r>
    </w:p>
    <w:p w14:paraId="35548E9F" w14:textId="77777777" w:rsidR="00273153" w:rsidRPr="00F52594" w:rsidRDefault="00273153" w:rsidP="00273153">
      <w:pPr>
        <w:jc w:val="center"/>
        <w:rPr>
          <w:b/>
          <w:bCs/>
          <w:sz w:val="48"/>
          <w:szCs w:val="48"/>
        </w:rPr>
      </w:pPr>
    </w:p>
    <w:p w14:paraId="23B246E9" w14:textId="77777777" w:rsidR="00273153" w:rsidRPr="00F52594" w:rsidRDefault="00273153" w:rsidP="00273153">
      <w:pPr>
        <w:jc w:val="center"/>
        <w:rPr>
          <w:b/>
          <w:bCs/>
          <w:sz w:val="48"/>
          <w:szCs w:val="48"/>
        </w:rPr>
      </w:pPr>
    </w:p>
    <w:p w14:paraId="3A7C2C2B" w14:textId="77777777" w:rsidR="00273153" w:rsidRPr="00F52594" w:rsidRDefault="00273153" w:rsidP="00273153">
      <w:pPr>
        <w:rPr>
          <w:b/>
          <w:bCs/>
          <w:sz w:val="48"/>
          <w:szCs w:val="48"/>
        </w:rPr>
      </w:pPr>
    </w:p>
    <w:p w14:paraId="3B7F3D0E" w14:textId="77777777" w:rsidR="00273153" w:rsidRPr="00F52594" w:rsidRDefault="00273153" w:rsidP="00273153">
      <w:pPr>
        <w:jc w:val="center"/>
        <w:rPr>
          <w:b/>
          <w:bCs/>
          <w:sz w:val="48"/>
          <w:szCs w:val="48"/>
        </w:rPr>
      </w:pPr>
    </w:p>
    <w:p w14:paraId="513AE79D" w14:textId="77777777" w:rsidR="00273153" w:rsidRPr="00F52594" w:rsidRDefault="00273153" w:rsidP="00273153">
      <w:pPr>
        <w:jc w:val="center"/>
        <w:rPr>
          <w:b/>
          <w:bCs/>
          <w:sz w:val="48"/>
          <w:szCs w:val="48"/>
        </w:rPr>
      </w:pPr>
    </w:p>
    <w:p w14:paraId="54F6423A" w14:textId="77777777" w:rsidR="00273153" w:rsidRPr="00F52594" w:rsidRDefault="00273153" w:rsidP="00273153">
      <w:pPr>
        <w:jc w:val="center"/>
        <w:rPr>
          <w:b/>
          <w:bCs/>
          <w:sz w:val="48"/>
          <w:szCs w:val="48"/>
        </w:rPr>
      </w:pPr>
    </w:p>
    <w:p w14:paraId="69EE29A5" w14:textId="77777777" w:rsidR="00273153" w:rsidRPr="00F52594" w:rsidRDefault="00273153" w:rsidP="00273153">
      <w:pPr>
        <w:jc w:val="center"/>
        <w:rPr>
          <w:b/>
          <w:bCs/>
          <w:sz w:val="48"/>
          <w:szCs w:val="48"/>
        </w:rPr>
      </w:pPr>
    </w:p>
    <w:p w14:paraId="27E588C8" w14:textId="77777777" w:rsidR="00273153" w:rsidRPr="00F52594" w:rsidRDefault="00273153" w:rsidP="00273153">
      <w:pPr>
        <w:jc w:val="center"/>
        <w:rPr>
          <w:b/>
          <w:bCs/>
          <w:sz w:val="48"/>
          <w:szCs w:val="48"/>
        </w:rPr>
      </w:pPr>
    </w:p>
    <w:p w14:paraId="7C750AC4" w14:textId="77777777" w:rsidR="00273153" w:rsidRPr="00F52594" w:rsidRDefault="00273153" w:rsidP="00273153">
      <w:pPr>
        <w:jc w:val="center"/>
        <w:rPr>
          <w:b/>
          <w:bCs/>
          <w:sz w:val="48"/>
          <w:szCs w:val="48"/>
        </w:rPr>
      </w:pPr>
    </w:p>
    <w:p w14:paraId="57E21B8C" w14:textId="77777777" w:rsidR="00273153" w:rsidRPr="00F52594" w:rsidRDefault="00273153" w:rsidP="00273153">
      <w:pPr>
        <w:jc w:val="center"/>
        <w:rPr>
          <w:b/>
          <w:bCs/>
          <w:sz w:val="48"/>
          <w:szCs w:val="48"/>
        </w:rPr>
      </w:pPr>
    </w:p>
    <w:p w14:paraId="036AF450" w14:textId="77777777" w:rsidR="00273153" w:rsidRPr="00F52594" w:rsidRDefault="00273153" w:rsidP="00273153">
      <w:pPr>
        <w:rPr>
          <w:b/>
          <w:bCs/>
          <w:sz w:val="48"/>
          <w:szCs w:val="48"/>
        </w:rPr>
      </w:pPr>
    </w:p>
    <w:p w14:paraId="0DD114CB" w14:textId="26A82B89" w:rsidR="00273153" w:rsidRPr="00F52594" w:rsidRDefault="00273153" w:rsidP="00273153">
      <w:pPr>
        <w:jc w:val="center"/>
        <w:rPr>
          <w:b/>
          <w:bCs/>
          <w:sz w:val="28"/>
          <w:szCs w:val="28"/>
        </w:rPr>
      </w:pPr>
      <w:r w:rsidRPr="00F52594">
        <w:rPr>
          <w:b/>
          <w:bCs/>
          <w:sz w:val="32"/>
          <w:szCs w:val="32"/>
        </w:rPr>
        <w:t>2</w:t>
      </w:r>
      <w:r w:rsidRPr="00F52594">
        <w:rPr>
          <w:b/>
          <w:bCs/>
          <w:sz w:val="28"/>
          <w:szCs w:val="28"/>
          <w:vertAlign w:val="superscript"/>
        </w:rPr>
        <w:t xml:space="preserve">nd </w:t>
      </w:r>
      <w:r w:rsidRPr="00F52594">
        <w:rPr>
          <w:b/>
          <w:bCs/>
          <w:sz w:val="28"/>
          <w:szCs w:val="28"/>
        </w:rPr>
        <w:t xml:space="preserve">version </w:t>
      </w:r>
      <w:r w:rsidR="00497C8B">
        <w:rPr>
          <w:b/>
          <w:bCs/>
          <w:sz w:val="28"/>
          <w:szCs w:val="28"/>
        </w:rPr>
        <w:t>AUGUST</w:t>
      </w:r>
      <w:r w:rsidRPr="00F52594">
        <w:rPr>
          <w:b/>
          <w:bCs/>
          <w:sz w:val="28"/>
          <w:szCs w:val="28"/>
        </w:rPr>
        <w:t xml:space="preserve"> 2024</w:t>
      </w:r>
    </w:p>
    <w:p w14:paraId="4893C0EB" w14:textId="77777777" w:rsidR="00273153" w:rsidRPr="00F52594" w:rsidRDefault="00273153" w:rsidP="00273153">
      <w:pPr>
        <w:jc w:val="center"/>
        <w:rPr>
          <w:b/>
          <w:bCs/>
          <w:sz w:val="28"/>
          <w:szCs w:val="28"/>
        </w:rPr>
      </w:pPr>
    </w:p>
    <w:p w14:paraId="385B83E7" w14:textId="0CCF25E4" w:rsidR="00273153" w:rsidRPr="00F52594" w:rsidRDefault="00273153" w:rsidP="00273153">
      <w:pPr>
        <w:rPr>
          <w:b/>
          <w:sz w:val="24"/>
        </w:rPr>
      </w:pPr>
      <w:r w:rsidRPr="00F52594">
        <w:rPr>
          <w:b/>
          <w:sz w:val="24"/>
        </w:rPr>
        <w:lastRenderedPageBreak/>
        <w:t>CONTENTS</w:t>
      </w:r>
    </w:p>
    <w:sdt>
      <w:sdtPr>
        <w:rPr>
          <w:rFonts w:ascii="Arial" w:eastAsia="Times New Roman" w:hAnsi="Arial" w:cs="Times New Roman"/>
          <w:color w:val="auto"/>
          <w:sz w:val="20"/>
          <w:szCs w:val="24"/>
          <w:lang w:val="en-US" w:eastAsia="en-US"/>
        </w:rPr>
        <w:id w:val="1029383860"/>
        <w:docPartObj>
          <w:docPartGallery w:val="Table of Contents"/>
          <w:docPartUnique/>
        </w:docPartObj>
      </w:sdtPr>
      <w:sdtEndPr>
        <w:rPr>
          <w:b/>
          <w:bCs/>
        </w:rPr>
      </w:sdtEndPr>
      <w:sdtContent>
        <w:p w14:paraId="119D889D" w14:textId="0F8FA368" w:rsidR="00187141" w:rsidRPr="00F52594" w:rsidRDefault="00187141">
          <w:pPr>
            <w:pStyle w:val="NaslovTOC"/>
            <w:rPr>
              <w:lang w:val="en-US"/>
            </w:rPr>
          </w:pPr>
        </w:p>
        <w:p w14:paraId="7EED207D" w14:textId="79E2C8E8" w:rsidR="007E4EA5" w:rsidRDefault="00187141">
          <w:pPr>
            <w:pStyle w:val="Kazalovsebine1"/>
            <w:tabs>
              <w:tab w:val="left" w:pos="440"/>
              <w:tab w:val="right" w:leader="dot" w:pos="8488"/>
            </w:tabs>
            <w:rPr>
              <w:rFonts w:asciiTheme="minorHAnsi" w:eastAsiaTheme="minorEastAsia" w:hAnsiTheme="minorHAnsi" w:cstheme="minorBidi"/>
              <w:noProof/>
              <w:kern w:val="2"/>
              <w:sz w:val="22"/>
              <w:szCs w:val="22"/>
              <w:lang w:val="sl-SI" w:eastAsia="sl-SI"/>
              <w14:ligatures w14:val="standardContextual"/>
            </w:rPr>
          </w:pPr>
          <w:r w:rsidRPr="00F52594">
            <w:rPr>
              <w:rFonts w:cs="Arial"/>
            </w:rPr>
            <w:fldChar w:fldCharType="begin"/>
          </w:r>
          <w:r w:rsidRPr="00F52594">
            <w:rPr>
              <w:rFonts w:cs="Arial"/>
            </w:rPr>
            <w:instrText xml:space="preserve"> TOC \o "1-3" \h \z \u </w:instrText>
          </w:r>
          <w:r w:rsidRPr="00F52594">
            <w:rPr>
              <w:rFonts w:cs="Arial"/>
            </w:rPr>
            <w:fldChar w:fldCharType="separate"/>
          </w:r>
          <w:hyperlink w:anchor="_Toc173849621" w:history="1">
            <w:r w:rsidR="007E4EA5" w:rsidRPr="00C816FC">
              <w:rPr>
                <w:rStyle w:val="Hiperpovezava"/>
                <w:noProof/>
              </w:rPr>
              <w:t>1.</w:t>
            </w:r>
            <w:r w:rsidR="007E4EA5">
              <w:rPr>
                <w:rFonts w:asciiTheme="minorHAnsi" w:eastAsiaTheme="minorEastAsia" w:hAnsiTheme="minorHAnsi" w:cstheme="minorBidi"/>
                <w:noProof/>
                <w:kern w:val="2"/>
                <w:sz w:val="22"/>
                <w:szCs w:val="22"/>
                <w:lang w:val="sl-SI" w:eastAsia="sl-SI"/>
                <w14:ligatures w14:val="standardContextual"/>
              </w:rPr>
              <w:tab/>
            </w:r>
            <w:r w:rsidR="007E4EA5" w:rsidRPr="00C816FC">
              <w:rPr>
                <w:rStyle w:val="Hiperpovezava"/>
                <w:noProof/>
              </w:rPr>
              <w:t>Release for free circulation</w:t>
            </w:r>
            <w:r w:rsidR="007E4EA5">
              <w:rPr>
                <w:noProof/>
                <w:webHidden/>
              </w:rPr>
              <w:tab/>
            </w:r>
            <w:r w:rsidR="007E4EA5">
              <w:rPr>
                <w:noProof/>
                <w:webHidden/>
              </w:rPr>
              <w:fldChar w:fldCharType="begin"/>
            </w:r>
            <w:r w:rsidR="007E4EA5">
              <w:rPr>
                <w:noProof/>
                <w:webHidden/>
              </w:rPr>
              <w:instrText xml:space="preserve"> PAGEREF _Toc173849621 \h </w:instrText>
            </w:r>
            <w:r w:rsidR="007E4EA5">
              <w:rPr>
                <w:noProof/>
                <w:webHidden/>
              </w:rPr>
            </w:r>
            <w:r w:rsidR="007E4EA5">
              <w:rPr>
                <w:noProof/>
                <w:webHidden/>
              </w:rPr>
              <w:fldChar w:fldCharType="separate"/>
            </w:r>
            <w:r w:rsidR="007E4EA5">
              <w:rPr>
                <w:noProof/>
                <w:webHidden/>
              </w:rPr>
              <w:t>3</w:t>
            </w:r>
            <w:r w:rsidR="007E4EA5">
              <w:rPr>
                <w:noProof/>
                <w:webHidden/>
              </w:rPr>
              <w:fldChar w:fldCharType="end"/>
            </w:r>
          </w:hyperlink>
        </w:p>
        <w:p w14:paraId="6A045DEF" w14:textId="1C06EB44" w:rsidR="007E4EA5" w:rsidRDefault="007E4EA5">
          <w:pPr>
            <w:pStyle w:val="Kazalovsebine1"/>
            <w:tabs>
              <w:tab w:val="left" w:pos="44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3849622" w:history="1">
            <w:r w:rsidRPr="00C816FC">
              <w:rPr>
                <w:rStyle w:val="Hiperpovezava"/>
                <w:noProof/>
              </w:rPr>
              <w:t>2.</w:t>
            </w:r>
            <w:r>
              <w:rPr>
                <w:rFonts w:asciiTheme="minorHAnsi" w:eastAsiaTheme="minorEastAsia" w:hAnsiTheme="minorHAnsi" w:cstheme="minorBidi"/>
                <w:noProof/>
                <w:kern w:val="2"/>
                <w:sz w:val="22"/>
                <w:szCs w:val="22"/>
                <w:lang w:val="sl-SI" w:eastAsia="sl-SI"/>
                <w14:ligatures w14:val="standardContextual"/>
              </w:rPr>
              <w:tab/>
            </w:r>
            <w:r w:rsidRPr="00C816FC">
              <w:rPr>
                <w:rStyle w:val="Hiperpovezava"/>
                <w:noProof/>
              </w:rPr>
              <w:t>Release for free circulation with end-use</w:t>
            </w:r>
            <w:r>
              <w:rPr>
                <w:noProof/>
                <w:webHidden/>
              </w:rPr>
              <w:tab/>
            </w:r>
            <w:r>
              <w:rPr>
                <w:noProof/>
                <w:webHidden/>
              </w:rPr>
              <w:fldChar w:fldCharType="begin"/>
            </w:r>
            <w:r>
              <w:rPr>
                <w:noProof/>
                <w:webHidden/>
              </w:rPr>
              <w:instrText xml:space="preserve"> PAGEREF _Toc173849622 \h </w:instrText>
            </w:r>
            <w:r>
              <w:rPr>
                <w:noProof/>
                <w:webHidden/>
              </w:rPr>
            </w:r>
            <w:r>
              <w:rPr>
                <w:noProof/>
                <w:webHidden/>
              </w:rPr>
              <w:fldChar w:fldCharType="separate"/>
            </w:r>
            <w:r>
              <w:rPr>
                <w:noProof/>
                <w:webHidden/>
              </w:rPr>
              <w:t>4</w:t>
            </w:r>
            <w:r>
              <w:rPr>
                <w:noProof/>
                <w:webHidden/>
              </w:rPr>
              <w:fldChar w:fldCharType="end"/>
            </w:r>
          </w:hyperlink>
        </w:p>
        <w:p w14:paraId="449483D9" w14:textId="06F97779" w:rsidR="007E4EA5" w:rsidRDefault="007E4EA5">
          <w:pPr>
            <w:pStyle w:val="Kazalovsebine1"/>
            <w:tabs>
              <w:tab w:val="left" w:pos="44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3849623" w:history="1">
            <w:r w:rsidRPr="00C816FC">
              <w:rPr>
                <w:rStyle w:val="Hiperpovezava"/>
                <w:noProof/>
              </w:rPr>
              <w:t>3.</w:t>
            </w:r>
            <w:r>
              <w:rPr>
                <w:rFonts w:asciiTheme="minorHAnsi" w:eastAsiaTheme="minorEastAsia" w:hAnsiTheme="minorHAnsi" w:cstheme="minorBidi"/>
                <w:noProof/>
                <w:kern w:val="2"/>
                <w:sz w:val="22"/>
                <w:szCs w:val="22"/>
                <w:lang w:val="sl-SI" w:eastAsia="sl-SI"/>
                <w14:ligatures w14:val="standardContextual"/>
              </w:rPr>
              <w:tab/>
            </w:r>
            <w:r w:rsidRPr="00C816FC">
              <w:rPr>
                <w:rStyle w:val="Hiperpovezava"/>
                <w:noProof/>
              </w:rPr>
              <w:t>Procedure 42</w:t>
            </w:r>
            <w:r>
              <w:rPr>
                <w:noProof/>
                <w:webHidden/>
              </w:rPr>
              <w:tab/>
            </w:r>
            <w:r>
              <w:rPr>
                <w:noProof/>
                <w:webHidden/>
              </w:rPr>
              <w:fldChar w:fldCharType="begin"/>
            </w:r>
            <w:r>
              <w:rPr>
                <w:noProof/>
                <w:webHidden/>
              </w:rPr>
              <w:instrText xml:space="preserve"> PAGEREF _Toc173849623 \h </w:instrText>
            </w:r>
            <w:r>
              <w:rPr>
                <w:noProof/>
                <w:webHidden/>
              </w:rPr>
            </w:r>
            <w:r>
              <w:rPr>
                <w:noProof/>
                <w:webHidden/>
              </w:rPr>
              <w:fldChar w:fldCharType="separate"/>
            </w:r>
            <w:r>
              <w:rPr>
                <w:noProof/>
                <w:webHidden/>
              </w:rPr>
              <w:t>4</w:t>
            </w:r>
            <w:r>
              <w:rPr>
                <w:noProof/>
                <w:webHidden/>
              </w:rPr>
              <w:fldChar w:fldCharType="end"/>
            </w:r>
          </w:hyperlink>
        </w:p>
        <w:p w14:paraId="1092F680" w14:textId="3B49C551" w:rsidR="007E4EA5" w:rsidRDefault="007E4EA5">
          <w:pPr>
            <w:pStyle w:val="Kazalovsebine1"/>
            <w:tabs>
              <w:tab w:val="left" w:pos="44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3849624" w:history="1">
            <w:r w:rsidRPr="00C816FC">
              <w:rPr>
                <w:rStyle w:val="Hiperpovezava"/>
                <w:noProof/>
              </w:rPr>
              <w:t>4.</w:t>
            </w:r>
            <w:r>
              <w:rPr>
                <w:rFonts w:asciiTheme="minorHAnsi" w:eastAsiaTheme="minorEastAsia" w:hAnsiTheme="minorHAnsi" w:cstheme="minorBidi"/>
                <w:noProof/>
                <w:kern w:val="2"/>
                <w:sz w:val="22"/>
                <w:szCs w:val="22"/>
                <w:lang w:val="sl-SI" w:eastAsia="sl-SI"/>
                <w14:ligatures w14:val="standardContextual"/>
              </w:rPr>
              <w:tab/>
            </w:r>
            <w:r w:rsidRPr="00C816FC">
              <w:rPr>
                <w:rStyle w:val="Hiperpovezava"/>
                <w:noProof/>
              </w:rPr>
              <w:t>Inward processing</w:t>
            </w:r>
            <w:r>
              <w:rPr>
                <w:noProof/>
                <w:webHidden/>
              </w:rPr>
              <w:tab/>
            </w:r>
            <w:r>
              <w:rPr>
                <w:noProof/>
                <w:webHidden/>
              </w:rPr>
              <w:fldChar w:fldCharType="begin"/>
            </w:r>
            <w:r>
              <w:rPr>
                <w:noProof/>
                <w:webHidden/>
              </w:rPr>
              <w:instrText xml:space="preserve"> PAGEREF _Toc173849624 \h </w:instrText>
            </w:r>
            <w:r>
              <w:rPr>
                <w:noProof/>
                <w:webHidden/>
              </w:rPr>
            </w:r>
            <w:r>
              <w:rPr>
                <w:noProof/>
                <w:webHidden/>
              </w:rPr>
              <w:fldChar w:fldCharType="separate"/>
            </w:r>
            <w:r>
              <w:rPr>
                <w:noProof/>
                <w:webHidden/>
              </w:rPr>
              <w:t>5</w:t>
            </w:r>
            <w:r>
              <w:rPr>
                <w:noProof/>
                <w:webHidden/>
              </w:rPr>
              <w:fldChar w:fldCharType="end"/>
            </w:r>
          </w:hyperlink>
        </w:p>
        <w:p w14:paraId="710737BB" w14:textId="6C9EBEB4" w:rsidR="007E4EA5" w:rsidRDefault="007E4EA5">
          <w:pPr>
            <w:pStyle w:val="Kazalovsebine1"/>
            <w:tabs>
              <w:tab w:val="left" w:pos="44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3849625" w:history="1">
            <w:r w:rsidRPr="00C816FC">
              <w:rPr>
                <w:rStyle w:val="Hiperpovezava"/>
                <w:noProof/>
              </w:rPr>
              <w:t>5.</w:t>
            </w:r>
            <w:r>
              <w:rPr>
                <w:rFonts w:asciiTheme="minorHAnsi" w:eastAsiaTheme="minorEastAsia" w:hAnsiTheme="minorHAnsi" w:cstheme="minorBidi"/>
                <w:noProof/>
                <w:kern w:val="2"/>
                <w:sz w:val="22"/>
                <w:szCs w:val="22"/>
                <w:lang w:val="sl-SI" w:eastAsia="sl-SI"/>
                <w14:ligatures w14:val="standardContextual"/>
              </w:rPr>
              <w:tab/>
            </w:r>
            <w:r w:rsidRPr="00C816FC">
              <w:rPr>
                <w:rStyle w:val="Hiperpovezava"/>
                <w:noProof/>
              </w:rPr>
              <w:t>Customs warehousing procedure</w:t>
            </w:r>
            <w:r>
              <w:rPr>
                <w:noProof/>
                <w:webHidden/>
              </w:rPr>
              <w:tab/>
            </w:r>
            <w:r>
              <w:rPr>
                <w:noProof/>
                <w:webHidden/>
              </w:rPr>
              <w:fldChar w:fldCharType="begin"/>
            </w:r>
            <w:r>
              <w:rPr>
                <w:noProof/>
                <w:webHidden/>
              </w:rPr>
              <w:instrText xml:space="preserve"> PAGEREF _Toc173849625 \h </w:instrText>
            </w:r>
            <w:r>
              <w:rPr>
                <w:noProof/>
                <w:webHidden/>
              </w:rPr>
            </w:r>
            <w:r>
              <w:rPr>
                <w:noProof/>
                <w:webHidden/>
              </w:rPr>
              <w:fldChar w:fldCharType="separate"/>
            </w:r>
            <w:r>
              <w:rPr>
                <w:noProof/>
                <w:webHidden/>
              </w:rPr>
              <w:t>5</w:t>
            </w:r>
            <w:r>
              <w:rPr>
                <w:noProof/>
                <w:webHidden/>
              </w:rPr>
              <w:fldChar w:fldCharType="end"/>
            </w:r>
          </w:hyperlink>
        </w:p>
        <w:p w14:paraId="3CF1F9B8" w14:textId="5A81025B" w:rsidR="007E4EA5" w:rsidRDefault="007E4EA5">
          <w:pPr>
            <w:pStyle w:val="Kazalovsebine1"/>
            <w:tabs>
              <w:tab w:val="left" w:pos="440"/>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3849626" w:history="1">
            <w:r w:rsidRPr="00C816FC">
              <w:rPr>
                <w:rStyle w:val="Hiperpovezava"/>
                <w:noProof/>
              </w:rPr>
              <w:t>6.</w:t>
            </w:r>
            <w:r>
              <w:rPr>
                <w:rFonts w:asciiTheme="minorHAnsi" w:eastAsiaTheme="minorEastAsia" w:hAnsiTheme="minorHAnsi" w:cstheme="minorBidi"/>
                <w:noProof/>
                <w:kern w:val="2"/>
                <w:sz w:val="22"/>
                <w:szCs w:val="22"/>
                <w:lang w:val="sl-SI" w:eastAsia="sl-SI"/>
                <w14:ligatures w14:val="standardContextual"/>
              </w:rPr>
              <w:tab/>
            </w:r>
            <w:r w:rsidRPr="00C816FC">
              <w:rPr>
                <w:rStyle w:val="Hiperpovezava"/>
                <w:noProof/>
              </w:rPr>
              <w:t>Temporary admission</w:t>
            </w:r>
            <w:r>
              <w:rPr>
                <w:noProof/>
                <w:webHidden/>
              </w:rPr>
              <w:tab/>
            </w:r>
            <w:r>
              <w:rPr>
                <w:noProof/>
                <w:webHidden/>
              </w:rPr>
              <w:fldChar w:fldCharType="begin"/>
            </w:r>
            <w:r>
              <w:rPr>
                <w:noProof/>
                <w:webHidden/>
              </w:rPr>
              <w:instrText xml:space="preserve"> PAGEREF _Toc173849626 \h </w:instrText>
            </w:r>
            <w:r>
              <w:rPr>
                <w:noProof/>
                <w:webHidden/>
              </w:rPr>
            </w:r>
            <w:r>
              <w:rPr>
                <w:noProof/>
                <w:webHidden/>
              </w:rPr>
              <w:fldChar w:fldCharType="separate"/>
            </w:r>
            <w:r>
              <w:rPr>
                <w:noProof/>
                <w:webHidden/>
              </w:rPr>
              <w:t>6</w:t>
            </w:r>
            <w:r>
              <w:rPr>
                <w:noProof/>
                <w:webHidden/>
              </w:rPr>
              <w:fldChar w:fldCharType="end"/>
            </w:r>
          </w:hyperlink>
        </w:p>
        <w:p w14:paraId="638EA4E8" w14:textId="2A05DA31" w:rsidR="00187141" w:rsidRPr="00F52594" w:rsidRDefault="00187141">
          <w:r w:rsidRPr="00F52594">
            <w:rPr>
              <w:rFonts w:cs="Arial"/>
              <w:b/>
              <w:bCs/>
            </w:rPr>
            <w:fldChar w:fldCharType="end"/>
          </w:r>
        </w:p>
      </w:sdtContent>
    </w:sdt>
    <w:p w14:paraId="0578A668" w14:textId="77777777" w:rsidR="00273153" w:rsidRPr="00F52594" w:rsidRDefault="00273153" w:rsidP="00273153">
      <w:pPr>
        <w:rPr>
          <w:b/>
          <w:sz w:val="24"/>
        </w:rPr>
      </w:pPr>
    </w:p>
    <w:p w14:paraId="607B6523" w14:textId="77777777" w:rsidR="00273153" w:rsidRPr="00F52594" w:rsidRDefault="00273153" w:rsidP="00273153">
      <w:pPr>
        <w:rPr>
          <w:b/>
          <w:sz w:val="24"/>
        </w:rPr>
      </w:pPr>
    </w:p>
    <w:p w14:paraId="582DAD66" w14:textId="77777777" w:rsidR="00273153" w:rsidRPr="00F52594" w:rsidRDefault="00273153" w:rsidP="00273153">
      <w:pPr>
        <w:rPr>
          <w:b/>
          <w:sz w:val="24"/>
        </w:rPr>
      </w:pPr>
    </w:p>
    <w:p w14:paraId="2A84C0CB" w14:textId="77777777" w:rsidR="00273153" w:rsidRPr="00F52594" w:rsidRDefault="00273153" w:rsidP="00273153">
      <w:pPr>
        <w:rPr>
          <w:b/>
          <w:sz w:val="24"/>
        </w:rPr>
      </w:pPr>
    </w:p>
    <w:p w14:paraId="09002995" w14:textId="77777777" w:rsidR="00273153" w:rsidRPr="00F52594" w:rsidRDefault="00273153" w:rsidP="00273153">
      <w:pPr>
        <w:rPr>
          <w:b/>
          <w:sz w:val="24"/>
        </w:rPr>
      </w:pPr>
    </w:p>
    <w:p w14:paraId="72077410" w14:textId="77777777" w:rsidR="00273153" w:rsidRPr="00F52594" w:rsidRDefault="00273153" w:rsidP="00273153">
      <w:pPr>
        <w:rPr>
          <w:b/>
          <w:sz w:val="24"/>
        </w:rPr>
      </w:pPr>
    </w:p>
    <w:p w14:paraId="4A1731EE" w14:textId="77777777" w:rsidR="00273153" w:rsidRPr="00F52594" w:rsidRDefault="00273153" w:rsidP="00273153">
      <w:pPr>
        <w:rPr>
          <w:b/>
          <w:sz w:val="24"/>
        </w:rPr>
      </w:pPr>
    </w:p>
    <w:p w14:paraId="07D87DFD" w14:textId="77777777" w:rsidR="00273153" w:rsidRPr="00F52594" w:rsidRDefault="00273153" w:rsidP="00273153">
      <w:pPr>
        <w:rPr>
          <w:b/>
          <w:sz w:val="24"/>
        </w:rPr>
      </w:pPr>
    </w:p>
    <w:p w14:paraId="3E6C2885" w14:textId="77777777" w:rsidR="00273153" w:rsidRPr="00F52594" w:rsidRDefault="00273153" w:rsidP="00273153">
      <w:pPr>
        <w:rPr>
          <w:b/>
          <w:sz w:val="24"/>
        </w:rPr>
      </w:pPr>
    </w:p>
    <w:p w14:paraId="063BF5EF" w14:textId="77777777" w:rsidR="00273153" w:rsidRPr="00F52594" w:rsidRDefault="00273153" w:rsidP="00273153">
      <w:pPr>
        <w:rPr>
          <w:b/>
          <w:sz w:val="24"/>
        </w:rPr>
      </w:pPr>
    </w:p>
    <w:p w14:paraId="23786A52" w14:textId="77777777" w:rsidR="00273153" w:rsidRPr="00F52594" w:rsidRDefault="00273153" w:rsidP="00273153">
      <w:pPr>
        <w:rPr>
          <w:b/>
          <w:sz w:val="24"/>
        </w:rPr>
      </w:pPr>
    </w:p>
    <w:p w14:paraId="7ED6A1C0" w14:textId="77777777" w:rsidR="00273153" w:rsidRPr="00F52594" w:rsidRDefault="00273153" w:rsidP="00273153">
      <w:pPr>
        <w:rPr>
          <w:b/>
          <w:sz w:val="24"/>
        </w:rPr>
      </w:pPr>
    </w:p>
    <w:p w14:paraId="56E09DAE" w14:textId="77777777" w:rsidR="00273153" w:rsidRPr="00F52594" w:rsidRDefault="00273153" w:rsidP="00273153">
      <w:pPr>
        <w:rPr>
          <w:b/>
          <w:sz w:val="24"/>
        </w:rPr>
      </w:pPr>
    </w:p>
    <w:p w14:paraId="6E0C723A" w14:textId="77777777" w:rsidR="00273153" w:rsidRPr="00F52594" w:rsidRDefault="00273153" w:rsidP="00273153">
      <w:pPr>
        <w:rPr>
          <w:b/>
          <w:sz w:val="24"/>
        </w:rPr>
      </w:pPr>
    </w:p>
    <w:p w14:paraId="4DA77247" w14:textId="77777777" w:rsidR="00273153" w:rsidRPr="00F52594" w:rsidRDefault="00273153" w:rsidP="00273153">
      <w:pPr>
        <w:rPr>
          <w:b/>
          <w:sz w:val="24"/>
        </w:rPr>
      </w:pPr>
    </w:p>
    <w:p w14:paraId="15793C8B" w14:textId="77777777" w:rsidR="00273153" w:rsidRPr="00F52594" w:rsidRDefault="00273153" w:rsidP="00273153">
      <w:pPr>
        <w:rPr>
          <w:b/>
          <w:sz w:val="24"/>
        </w:rPr>
      </w:pPr>
    </w:p>
    <w:p w14:paraId="12FA3CB7" w14:textId="77777777" w:rsidR="00273153" w:rsidRPr="00F52594" w:rsidRDefault="00273153" w:rsidP="00273153">
      <w:pPr>
        <w:rPr>
          <w:b/>
          <w:sz w:val="24"/>
        </w:rPr>
      </w:pPr>
    </w:p>
    <w:p w14:paraId="5A067AED" w14:textId="77777777" w:rsidR="00273153" w:rsidRPr="00F52594" w:rsidRDefault="00273153" w:rsidP="00273153">
      <w:pPr>
        <w:rPr>
          <w:b/>
          <w:sz w:val="24"/>
        </w:rPr>
      </w:pPr>
    </w:p>
    <w:p w14:paraId="2B6FA58B" w14:textId="77777777" w:rsidR="00273153" w:rsidRPr="00F52594" w:rsidRDefault="00273153" w:rsidP="00273153">
      <w:pPr>
        <w:rPr>
          <w:b/>
          <w:sz w:val="24"/>
        </w:rPr>
      </w:pPr>
    </w:p>
    <w:p w14:paraId="17E5C074" w14:textId="77777777" w:rsidR="00273153" w:rsidRPr="00F52594" w:rsidRDefault="00273153" w:rsidP="00273153">
      <w:pPr>
        <w:rPr>
          <w:b/>
          <w:sz w:val="24"/>
        </w:rPr>
      </w:pPr>
    </w:p>
    <w:p w14:paraId="0EC6DAE7" w14:textId="77777777" w:rsidR="00273153" w:rsidRPr="00F52594" w:rsidRDefault="00273153" w:rsidP="00273153">
      <w:pPr>
        <w:rPr>
          <w:b/>
          <w:sz w:val="24"/>
        </w:rPr>
      </w:pPr>
    </w:p>
    <w:p w14:paraId="0E9F5FCD" w14:textId="77777777" w:rsidR="00273153" w:rsidRPr="00F52594" w:rsidRDefault="00273153" w:rsidP="00273153">
      <w:pPr>
        <w:rPr>
          <w:b/>
          <w:sz w:val="24"/>
        </w:rPr>
      </w:pPr>
    </w:p>
    <w:p w14:paraId="70E43488" w14:textId="77777777" w:rsidR="00273153" w:rsidRPr="00F52594" w:rsidRDefault="00273153" w:rsidP="00273153">
      <w:pPr>
        <w:rPr>
          <w:b/>
          <w:sz w:val="24"/>
        </w:rPr>
      </w:pPr>
    </w:p>
    <w:p w14:paraId="55047A5D" w14:textId="77777777" w:rsidR="00273153" w:rsidRPr="00F52594" w:rsidRDefault="00273153" w:rsidP="00273153">
      <w:pPr>
        <w:rPr>
          <w:b/>
          <w:sz w:val="24"/>
        </w:rPr>
      </w:pPr>
    </w:p>
    <w:p w14:paraId="060BAF9B" w14:textId="77777777" w:rsidR="00273153" w:rsidRPr="00F52594" w:rsidRDefault="00273153" w:rsidP="00273153">
      <w:pPr>
        <w:rPr>
          <w:b/>
          <w:sz w:val="24"/>
        </w:rPr>
      </w:pPr>
    </w:p>
    <w:p w14:paraId="3D666973" w14:textId="77777777" w:rsidR="00273153" w:rsidRPr="00F52594" w:rsidRDefault="00273153" w:rsidP="00273153">
      <w:pPr>
        <w:rPr>
          <w:b/>
          <w:sz w:val="24"/>
        </w:rPr>
      </w:pPr>
    </w:p>
    <w:p w14:paraId="13F552E2" w14:textId="77777777" w:rsidR="00273153" w:rsidRPr="00F52594" w:rsidRDefault="00273153" w:rsidP="00273153">
      <w:pPr>
        <w:rPr>
          <w:b/>
          <w:sz w:val="24"/>
        </w:rPr>
      </w:pPr>
    </w:p>
    <w:p w14:paraId="5E8F6DD9" w14:textId="77777777" w:rsidR="00273153" w:rsidRPr="00F52594" w:rsidRDefault="00273153" w:rsidP="00273153">
      <w:pPr>
        <w:rPr>
          <w:b/>
          <w:sz w:val="24"/>
        </w:rPr>
      </w:pPr>
    </w:p>
    <w:p w14:paraId="2B329897" w14:textId="77777777" w:rsidR="00273153" w:rsidRPr="00F52594" w:rsidRDefault="00273153" w:rsidP="00273153">
      <w:pPr>
        <w:rPr>
          <w:b/>
          <w:sz w:val="24"/>
        </w:rPr>
      </w:pPr>
    </w:p>
    <w:p w14:paraId="65384971" w14:textId="77777777" w:rsidR="00273153" w:rsidRPr="00F52594" w:rsidRDefault="00273153" w:rsidP="00273153">
      <w:pPr>
        <w:rPr>
          <w:b/>
          <w:sz w:val="24"/>
        </w:rPr>
      </w:pPr>
    </w:p>
    <w:p w14:paraId="6195952B" w14:textId="77777777" w:rsidR="00273153" w:rsidRPr="00F52594" w:rsidRDefault="00273153" w:rsidP="00273153">
      <w:pPr>
        <w:rPr>
          <w:b/>
          <w:sz w:val="24"/>
        </w:rPr>
      </w:pPr>
    </w:p>
    <w:p w14:paraId="077933C0" w14:textId="77777777" w:rsidR="00273153" w:rsidRPr="00F52594" w:rsidRDefault="00273153" w:rsidP="00273153">
      <w:pPr>
        <w:rPr>
          <w:b/>
          <w:sz w:val="24"/>
        </w:rPr>
      </w:pPr>
    </w:p>
    <w:p w14:paraId="051AD7B2" w14:textId="77777777" w:rsidR="00273153" w:rsidRPr="00F52594" w:rsidRDefault="00273153" w:rsidP="00273153">
      <w:pPr>
        <w:rPr>
          <w:b/>
          <w:sz w:val="24"/>
        </w:rPr>
      </w:pPr>
    </w:p>
    <w:p w14:paraId="0EACCBE3" w14:textId="77777777" w:rsidR="00273153" w:rsidRPr="00F52594" w:rsidRDefault="00273153" w:rsidP="00273153">
      <w:pPr>
        <w:rPr>
          <w:b/>
          <w:sz w:val="24"/>
        </w:rPr>
      </w:pPr>
    </w:p>
    <w:p w14:paraId="79C92B98" w14:textId="77777777" w:rsidR="00273153" w:rsidRPr="00F52594" w:rsidRDefault="00273153" w:rsidP="00273153">
      <w:pPr>
        <w:rPr>
          <w:b/>
          <w:sz w:val="24"/>
        </w:rPr>
      </w:pPr>
    </w:p>
    <w:p w14:paraId="25485FC3" w14:textId="77777777" w:rsidR="00273153" w:rsidRPr="00F52594" w:rsidRDefault="00273153" w:rsidP="00273153">
      <w:pPr>
        <w:rPr>
          <w:b/>
          <w:sz w:val="24"/>
        </w:rPr>
      </w:pPr>
    </w:p>
    <w:p w14:paraId="1D6AC772" w14:textId="77777777" w:rsidR="00273153" w:rsidRPr="00F52594" w:rsidRDefault="00273153" w:rsidP="00273153">
      <w:pPr>
        <w:rPr>
          <w:b/>
          <w:sz w:val="24"/>
        </w:rPr>
      </w:pPr>
    </w:p>
    <w:p w14:paraId="47B871DC" w14:textId="77777777" w:rsidR="00273153" w:rsidRPr="00F52594" w:rsidRDefault="00273153" w:rsidP="00273153">
      <w:pPr>
        <w:rPr>
          <w:b/>
          <w:sz w:val="24"/>
        </w:rPr>
      </w:pPr>
    </w:p>
    <w:p w14:paraId="6485DF03" w14:textId="430A7E72" w:rsidR="00A77304" w:rsidRPr="00F52594" w:rsidRDefault="001E510D" w:rsidP="009D3948">
      <w:pPr>
        <w:pStyle w:val="Naslov1"/>
        <w:numPr>
          <w:ilvl w:val="0"/>
          <w:numId w:val="9"/>
        </w:numPr>
        <w:rPr>
          <w:lang w:val="en-US"/>
        </w:rPr>
      </w:pPr>
      <w:bookmarkStart w:id="0" w:name="_Toc173849621"/>
      <w:r w:rsidRPr="00F52594">
        <w:rPr>
          <w:lang w:val="en-US"/>
        </w:rPr>
        <w:lastRenderedPageBreak/>
        <w:t>Release for free circulation</w:t>
      </w:r>
      <w:bookmarkEnd w:id="0"/>
      <w:r w:rsidRPr="00F52594">
        <w:rPr>
          <w:lang w:val="en-US"/>
        </w:rPr>
        <w:t xml:space="preserve"> </w:t>
      </w:r>
    </w:p>
    <w:p w14:paraId="0DFD78C3" w14:textId="77777777" w:rsidR="00A77304" w:rsidRPr="00F52594" w:rsidRDefault="00A77304" w:rsidP="00A77304">
      <w:pPr>
        <w:rPr>
          <w:bCs/>
          <w:sz w:val="24"/>
        </w:rPr>
      </w:pPr>
    </w:p>
    <w:p w14:paraId="6B8E4F0D" w14:textId="104706CE" w:rsidR="00A77304" w:rsidRDefault="00B43158" w:rsidP="00A77304">
      <w:pPr>
        <w:jc w:val="both"/>
        <w:rPr>
          <w:bCs/>
          <w:sz w:val="24"/>
        </w:rPr>
      </w:pPr>
      <w:r w:rsidRPr="00B43158">
        <w:rPr>
          <w:bCs/>
          <w:sz w:val="24"/>
        </w:rPr>
        <w:t>Release of goods for free circulation is a customs procedure during which customs goods acquire the Community status. A declarant must complete import formalities and take account of the commercial policy measures and prohibitions and restrictions applicable to the goods in question.</w:t>
      </w:r>
    </w:p>
    <w:p w14:paraId="215A9F4A" w14:textId="77777777" w:rsidR="00B43158" w:rsidRPr="00F52594" w:rsidRDefault="00B43158" w:rsidP="00A77304">
      <w:pPr>
        <w:jc w:val="both"/>
        <w:rPr>
          <w:bCs/>
          <w:sz w:val="24"/>
        </w:rPr>
      </w:pPr>
    </w:p>
    <w:p w14:paraId="4D7B9285" w14:textId="0EAACDF2" w:rsidR="00A77304" w:rsidRPr="00F52594" w:rsidRDefault="00A77304" w:rsidP="00A77304">
      <w:pPr>
        <w:jc w:val="both"/>
        <w:rPr>
          <w:bCs/>
          <w:sz w:val="24"/>
        </w:rPr>
      </w:pPr>
      <w:r w:rsidRPr="00F52594">
        <w:rPr>
          <w:bCs/>
          <w:sz w:val="24"/>
        </w:rPr>
        <w:t xml:space="preserve">The customs declaration is submitted electronically to the customs clearance department and must be completed in accordance with the </w:t>
      </w:r>
      <w:hyperlink r:id="rId12" w:history="1">
        <w:r w:rsidRPr="00F52594">
          <w:rPr>
            <w:rStyle w:val="Hiperpovezava"/>
            <w:bCs/>
            <w:sz w:val="24"/>
          </w:rPr>
          <w:t xml:space="preserve">Regulation on the </w:t>
        </w:r>
        <w:r w:rsidR="00314CEF">
          <w:rPr>
            <w:rStyle w:val="Hiperpovezava"/>
            <w:bCs/>
            <w:sz w:val="24"/>
          </w:rPr>
          <w:t>c</w:t>
        </w:r>
        <w:r w:rsidRPr="00F52594">
          <w:rPr>
            <w:rStyle w:val="Hiperpovezava"/>
            <w:bCs/>
            <w:sz w:val="24"/>
          </w:rPr>
          <w:t xml:space="preserve">ompletion of </w:t>
        </w:r>
        <w:r w:rsidR="00314CEF">
          <w:rPr>
            <w:rStyle w:val="Hiperpovezava"/>
            <w:bCs/>
            <w:sz w:val="24"/>
          </w:rPr>
          <w:t>c</w:t>
        </w:r>
        <w:r w:rsidRPr="00F52594">
          <w:rPr>
            <w:rStyle w:val="Hiperpovezava"/>
            <w:bCs/>
            <w:sz w:val="24"/>
          </w:rPr>
          <w:t xml:space="preserve">ustoms </w:t>
        </w:r>
        <w:r w:rsidR="00314CEF">
          <w:rPr>
            <w:rStyle w:val="Hiperpovezava"/>
            <w:bCs/>
            <w:sz w:val="24"/>
          </w:rPr>
          <w:t>d</w:t>
        </w:r>
        <w:r w:rsidRPr="00F52594">
          <w:rPr>
            <w:rStyle w:val="Hiperpovezava"/>
            <w:bCs/>
            <w:sz w:val="24"/>
          </w:rPr>
          <w:t xml:space="preserve">eclarations, </w:t>
        </w:r>
        <w:r w:rsidR="00314CEF">
          <w:rPr>
            <w:rStyle w:val="Hiperpovezava"/>
            <w:bCs/>
            <w:sz w:val="24"/>
          </w:rPr>
          <w:t>e</w:t>
        </w:r>
        <w:r w:rsidRPr="00F52594">
          <w:rPr>
            <w:rStyle w:val="Hiperpovezava"/>
            <w:bCs/>
            <w:sz w:val="24"/>
          </w:rPr>
          <w:t xml:space="preserve">lectronic </w:t>
        </w:r>
        <w:r w:rsidR="00314CEF">
          <w:rPr>
            <w:rStyle w:val="Hiperpovezava"/>
            <w:bCs/>
            <w:sz w:val="24"/>
          </w:rPr>
          <w:t>transaction</w:t>
        </w:r>
        <w:r w:rsidRPr="00F52594">
          <w:rPr>
            <w:rStyle w:val="Hiperpovezava"/>
            <w:bCs/>
            <w:sz w:val="24"/>
          </w:rPr>
          <w:t xml:space="preserve"> with the Financial Administration of the Republic of Slovenia</w:t>
        </w:r>
      </w:hyperlink>
      <w:r w:rsidRPr="00F52594">
        <w:rPr>
          <w:bCs/>
          <w:sz w:val="24"/>
        </w:rPr>
        <w:t xml:space="preserve">, and other forms used in the implementation of customs formalities. </w:t>
      </w:r>
      <w:r w:rsidR="00B43158" w:rsidRPr="00B43158">
        <w:rPr>
          <w:bCs/>
          <w:sz w:val="24"/>
        </w:rPr>
        <w:t>Documents such as invoices, proofs of origin, import authorizations, transit documents must be attached to a customs declaration.</w:t>
      </w:r>
      <w:r w:rsidR="00B43158">
        <w:t xml:space="preserve"> </w:t>
      </w:r>
      <w:r w:rsidR="00B43158" w:rsidRPr="00B43158">
        <w:rPr>
          <w:bCs/>
          <w:sz w:val="24"/>
        </w:rPr>
        <w:t>Goods are released for free circulation on condition that the customs debt has been paid or secured. The amount of import duties depends on the tariff classification, the origin, the customs value, or the quantity of goods</w:t>
      </w:r>
      <w:r w:rsidRPr="00F52594">
        <w:rPr>
          <w:bCs/>
          <w:sz w:val="24"/>
        </w:rPr>
        <w:t>.</w:t>
      </w:r>
    </w:p>
    <w:p w14:paraId="18B0C845" w14:textId="77777777" w:rsidR="00A77304" w:rsidRPr="00F52594" w:rsidRDefault="00A77304" w:rsidP="00A77304">
      <w:pPr>
        <w:jc w:val="both"/>
        <w:rPr>
          <w:bCs/>
          <w:sz w:val="24"/>
        </w:rPr>
      </w:pPr>
    </w:p>
    <w:p w14:paraId="51CAC50A" w14:textId="201E8027" w:rsidR="00B43158" w:rsidRDefault="00B43158" w:rsidP="00A77304">
      <w:pPr>
        <w:jc w:val="both"/>
        <w:rPr>
          <w:rFonts w:cs="Arial"/>
          <w:bCs/>
          <w:sz w:val="24"/>
        </w:rPr>
      </w:pPr>
      <w:r w:rsidRPr="00B43158">
        <w:rPr>
          <w:rFonts w:cs="Arial"/>
          <w:bCs/>
          <w:sz w:val="24"/>
        </w:rPr>
        <w:t>The following duties may be calculated upon import of goods:</w:t>
      </w:r>
    </w:p>
    <w:p w14:paraId="596F3B9D" w14:textId="08E4EFA8" w:rsidR="00A77304" w:rsidRPr="00F52594" w:rsidRDefault="00A77304" w:rsidP="00A77304">
      <w:pPr>
        <w:jc w:val="both"/>
        <w:rPr>
          <w:rFonts w:cs="Arial"/>
          <w:bCs/>
          <w:sz w:val="24"/>
        </w:rPr>
      </w:pPr>
      <w:r w:rsidRPr="00F52594">
        <w:rPr>
          <w:rFonts w:cs="Arial"/>
          <w:b/>
          <w:sz w:val="24"/>
        </w:rPr>
        <w:t>Import duties</w:t>
      </w:r>
      <w:r w:rsidRPr="00F52594">
        <w:rPr>
          <w:rFonts w:cs="Arial"/>
          <w:bCs/>
          <w:sz w:val="24"/>
        </w:rPr>
        <w:t>:</w:t>
      </w:r>
    </w:p>
    <w:p w14:paraId="1B4EECA6" w14:textId="5E156862"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Customs dut</w:t>
      </w:r>
      <w:r w:rsidR="00B43158">
        <w:rPr>
          <w:rFonts w:ascii="Arial" w:hAnsi="Arial" w:cs="Arial"/>
          <w:bCs/>
          <w:sz w:val="24"/>
          <w:lang w:val="en-US"/>
        </w:rPr>
        <w:t>ies</w:t>
      </w:r>
      <w:r w:rsidRPr="00F52594">
        <w:rPr>
          <w:rFonts w:ascii="Arial" w:hAnsi="Arial" w:cs="Arial"/>
          <w:bCs/>
          <w:sz w:val="24"/>
          <w:lang w:val="en-US"/>
        </w:rPr>
        <w:t>,</w:t>
      </w:r>
    </w:p>
    <w:p w14:paraId="3DD96463" w14:textId="1C3AC281"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 xml:space="preserve">Anti-dumping and countervailing </w:t>
      </w:r>
      <w:r w:rsidR="00F52594" w:rsidRPr="00F52594">
        <w:rPr>
          <w:rFonts w:ascii="Arial" w:hAnsi="Arial" w:cs="Arial"/>
          <w:bCs/>
          <w:sz w:val="24"/>
          <w:lang w:val="en-US"/>
        </w:rPr>
        <w:t>duties.</w:t>
      </w:r>
    </w:p>
    <w:p w14:paraId="57ECF9C3" w14:textId="77777777" w:rsidR="00A77304" w:rsidRPr="00F52594" w:rsidRDefault="00A77304" w:rsidP="00A77304">
      <w:pPr>
        <w:jc w:val="both"/>
        <w:rPr>
          <w:rFonts w:cs="Arial"/>
          <w:b/>
          <w:sz w:val="24"/>
        </w:rPr>
      </w:pPr>
      <w:r w:rsidRPr="00F52594">
        <w:rPr>
          <w:rFonts w:cs="Arial"/>
          <w:b/>
          <w:sz w:val="24"/>
        </w:rPr>
        <w:t>National duties:</w:t>
      </w:r>
    </w:p>
    <w:p w14:paraId="4756EA74" w14:textId="77777777"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Value-added tax (VAT),</w:t>
      </w:r>
    </w:p>
    <w:p w14:paraId="6AFF209D" w14:textId="77777777"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Excise duties,</w:t>
      </w:r>
    </w:p>
    <w:p w14:paraId="679B5724" w14:textId="77777777"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Environmental duty for air pollution by CO2 emissions from liquid fuels,</w:t>
      </w:r>
    </w:p>
    <w:p w14:paraId="7A966DD1" w14:textId="77777777"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Environmental duty for air pollution by CO2 emissions from gaseous fuels,</w:t>
      </w:r>
    </w:p>
    <w:p w14:paraId="47AB998C" w14:textId="77777777"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Environmental duty for air pollution by CO2 emissions from solid fuels,</w:t>
      </w:r>
    </w:p>
    <w:p w14:paraId="765F6E53" w14:textId="77777777"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Environmental duty for environmental pollution due to the use of lubricating oils and fluids,</w:t>
      </w:r>
    </w:p>
    <w:p w14:paraId="451ACEB9" w14:textId="3079690C"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Environmental duty for environmental pollution due to the generation of end-of-life vehicles,</w:t>
      </w:r>
    </w:p>
    <w:p w14:paraId="231C3297" w14:textId="7EEC2A2C" w:rsidR="00A77304" w:rsidRPr="00F52594" w:rsidRDefault="00A77304" w:rsidP="00A77304">
      <w:pPr>
        <w:pStyle w:val="Odstavekseznama"/>
        <w:numPr>
          <w:ilvl w:val="0"/>
          <w:numId w:val="8"/>
        </w:numPr>
        <w:jc w:val="both"/>
        <w:rPr>
          <w:rFonts w:ascii="Arial" w:hAnsi="Arial" w:cs="Arial"/>
          <w:bCs/>
          <w:sz w:val="24"/>
          <w:lang w:val="en-US"/>
        </w:rPr>
      </w:pPr>
      <w:r w:rsidRPr="00F52594">
        <w:rPr>
          <w:rFonts w:ascii="Arial" w:hAnsi="Arial" w:cs="Arial"/>
          <w:bCs/>
          <w:sz w:val="24"/>
          <w:lang w:val="en-US"/>
        </w:rPr>
        <w:t>Motor vehicle tax (MVT).</w:t>
      </w:r>
    </w:p>
    <w:p w14:paraId="672DCB3E" w14:textId="77777777" w:rsidR="00A77304" w:rsidRPr="00F52594" w:rsidRDefault="00A77304" w:rsidP="00A77304">
      <w:pPr>
        <w:jc w:val="both"/>
        <w:rPr>
          <w:bCs/>
          <w:sz w:val="24"/>
        </w:rPr>
      </w:pPr>
    </w:p>
    <w:p w14:paraId="3FF59945" w14:textId="73BA00CE" w:rsidR="00A77304" w:rsidRDefault="00B43158" w:rsidP="00A77304">
      <w:pPr>
        <w:jc w:val="both"/>
        <w:rPr>
          <w:bCs/>
          <w:sz w:val="24"/>
        </w:rPr>
      </w:pPr>
      <w:r w:rsidRPr="00B43158">
        <w:rPr>
          <w:bCs/>
          <w:sz w:val="24"/>
        </w:rPr>
        <w:t xml:space="preserve">In specific situations goods can be released for free circulation </w:t>
      </w:r>
      <w:proofErr w:type="gramStart"/>
      <w:r w:rsidRPr="00B43158">
        <w:rPr>
          <w:bCs/>
          <w:sz w:val="24"/>
        </w:rPr>
        <w:t>on the basis of</w:t>
      </w:r>
      <w:proofErr w:type="gramEnd"/>
      <w:r w:rsidRPr="00B43158">
        <w:rPr>
          <w:bCs/>
          <w:sz w:val="24"/>
        </w:rPr>
        <w:t xml:space="preserve"> an oral declaration, and no customs declaration needs to be submitted</w:t>
      </w:r>
      <w:r w:rsidR="00314CEF">
        <w:rPr>
          <w:bCs/>
          <w:sz w:val="24"/>
        </w:rPr>
        <w:t>.</w:t>
      </w:r>
      <w:r w:rsidRPr="00B43158">
        <w:rPr>
          <w:bCs/>
          <w:sz w:val="24"/>
        </w:rPr>
        <w:t xml:space="preserve"> An oral customs declaration may be made with respect to goods of non-commercial nature contained in the travelers’ personal luggage, goods of commercial nature the total value of which does not exceed EUR 1000</w:t>
      </w:r>
      <w:r w:rsidR="00314CEF">
        <w:rPr>
          <w:bCs/>
          <w:sz w:val="24"/>
        </w:rPr>
        <w:t xml:space="preserve"> or 1000 kg</w:t>
      </w:r>
      <w:r w:rsidRPr="00B43158">
        <w:rPr>
          <w:bCs/>
          <w:sz w:val="24"/>
        </w:rPr>
        <w:t>, where this is approved of by customs authorities.</w:t>
      </w:r>
    </w:p>
    <w:p w14:paraId="6E632038" w14:textId="77777777" w:rsidR="00B43158" w:rsidRPr="00F52594" w:rsidRDefault="00B43158" w:rsidP="00A77304">
      <w:pPr>
        <w:jc w:val="both"/>
        <w:rPr>
          <w:bCs/>
          <w:sz w:val="24"/>
        </w:rPr>
      </w:pPr>
    </w:p>
    <w:p w14:paraId="4442F601" w14:textId="77777777" w:rsidR="00A77304" w:rsidRPr="00F52594" w:rsidRDefault="00A77304" w:rsidP="00A77304">
      <w:pPr>
        <w:jc w:val="both"/>
        <w:rPr>
          <w:b/>
          <w:i/>
          <w:iCs/>
          <w:sz w:val="24"/>
        </w:rPr>
      </w:pPr>
      <w:r w:rsidRPr="00F52594">
        <w:rPr>
          <w:b/>
          <w:i/>
          <w:iCs/>
          <w:sz w:val="24"/>
        </w:rPr>
        <w:t xml:space="preserve">Import VAT </w:t>
      </w:r>
    </w:p>
    <w:p w14:paraId="4C05C30F" w14:textId="172D2842" w:rsidR="00A77304" w:rsidRPr="00F52594" w:rsidRDefault="00A77304" w:rsidP="00A77304">
      <w:pPr>
        <w:jc w:val="both"/>
        <w:rPr>
          <w:bCs/>
          <w:sz w:val="24"/>
        </w:rPr>
      </w:pPr>
      <w:r w:rsidRPr="00F52594">
        <w:rPr>
          <w:bCs/>
          <w:sz w:val="24"/>
        </w:rPr>
        <w:t xml:space="preserve">On importation VAT is </w:t>
      </w:r>
      <w:r w:rsidR="00B43158">
        <w:rPr>
          <w:bCs/>
          <w:sz w:val="24"/>
        </w:rPr>
        <w:t>paid as</w:t>
      </w:r>
      <w:r w:rsidRPr="00F52594">
        <w:rPr>
          <w:bCs/>
          <w:sz w:val="24"/>
        </w:rPr>
        <w:t xml:space="preserve"> import duty. </w:t>
      </w:r>
      <w:r w:rsidR="00B43158">
        <w:rPr>
          <w:bCs/>
          <w:sz w:val="24"/>
        </w:rPr>
        <w:t xml:space="preserve">Import </w:t>
      </w:r>
      <w:r w:rsidRPr="00F52594">
        <w:rPr>
          <w:bCs/>
          <w:sz w:val="24"/>
        </w:rPr>
        <w:t xml:space="preserve">VAT is charged by the customs authority, which is responsible for calculating import duties in accordance with customs </w:t>
      </w:r>
      <w:r w:rsidR="00314CEF">
        <w:rPr>
          <w:bCs/>
          <w:sz w:val="24"/>
        </w:rPr>
        <w:t>legislation</w:t>
      </w:r>
      <w:r w:rsidRPr="00F52594">
        <w:rPr>
          <w:bCs/>
          <w:sz w:val="24"/>
        </w:rPr>
        <w:t>.</w:t>
      </w:r>
    </w:p>
    <w:p w14:paraId="1418EBDF" w14:textId="77777777" w:rsidR="00A77304" w:rsidRPr="00F52594" w:rsidRDefault="00A77304" w:rsidP="00A77304">
      <w:pPr>
        <w:jc w:val="both"/>
        <w:rPr>
          <w:bCs/>
          <w:sz w:val="24"/>
        </w:rPr>
      </w:pPr>
    </w:p>
    <w:p w14:paraId="1B1D8030" w14:textId="31A9E555" w:rsidR="00A77304" w:rsidRPr="00F52594" w:rsidRDefault="00A77304" w:rsidP="00A77304">
      <w:pPr>
        <w:jc w:val="both"/>
        <w:rPr>
          <w:bCs/>
          <w:sz w:val="24"/>
        </w:rPr>
      </w:pPr>
      <w:r w:rsidRPr="00F52594">
        <w:rPr>
          <w:bCs/>
          <w:sz w:val="24"/>
        </w:rPr>
        <w:lastRenderedPageBreak/>
        <w:t>When the prescribed conditions are met, import VAT is shown in the VAT return and paid within the period in which the VAT return must be submitted. The recipient of the goods must be a taxable person identified for VAT purposes who has a valid Slovenian VAT identification number. A recipient of goods who does not have a registered office in Slovenia and wishes to show import VAT in the VAT return</w:t>
      </w:r>
      <w:r w:rsidR="00314CEF">
        <w:rPr>
          <w:bCs/>
          <w:sz w:val="24"/>
        </w:rPr>
        <w:t xml:space="preserve">, </w:t>
      </w:r>
      <w:proofErr w:type="gramStart"/>
      <w:r w:rsidR="00314CEF">
        <w:rPr>
          <w:bCs/>
          <w:sz w:val="24"/>
        </w:rPr>
        <w:t>has to</w:t>
      </w:r>
      <w:proofErr w:type="gramEnd"/>
      <w:r w:rsidR="00314CEF">
        <w:rPr>
          <w:bCs/>
          <w:sz w:val="24"/>
        </w:rPr>
        <w:t xml:space="preserve"> before submitting the customs declaration,</w:t>
      </w:r>
      <w:r w:rsidRPr="00F52594">
        <w:rPr>
          <w:bCs/>
          <w:sz w:val="24"/>
        </w:rPr>
        <w:t xml:space="preserve"> appoint a special tax representative, who is jointly and severally liable for the payment of VAT on the importation of goods.</w:t>
      </w:r>
    </w:p>
    <w:p w14:paraId="55CB716D" w14:textId="77777777" w:rsidR="00A77304" w:rsidRPr="00F52594" w:rsidRDefault="00A77304" w:rsidP="00A77304">
      <w:pPr>
        <w:jc w:val="both"/>
        <w:rPr>
          <w:bCs/>
          <w:sz w:val="24"/>
        </w:rPr>
      </w:pPr>
    </w:p>
    <w:p w14:paraId="78CB4114" w14:textId="4F4DBE9A" w:rsidR="00A77304" w:rsidRPr="00F52594" w:rsidRDefault="00A77304" w:rsidP="00A77304">
      <w:pPr>
        <w:jc w:val="both"/>
        <w:rPr>
          <w:bCs/>
          <w:sz w:val="24"/>
        </w:rPr>
      </w:pPr>
      <w:r w:rsidRPr="00F52594">
        <w:rPr>
          <w:bCs/>
          <w:sz w:val="24"/>
        </w:rPr>
        <w:t xml:space="preserve">Payment of import VAT is detailed in the Instructions on </w:t>
      </w:r>
      <w:r w:rsidR="007D6AE6">
        <w:rPr>
          <w:bCs/>
          <w:sz w:val="24"/>
        </w:rPr>
        <w:t>f</w:t>
      </w:r>
      <w:r w:rsidRPr="00F52594">
        <w:rPr>
          <w:bCs/>
          <w:sz w:val="24"/>
        </w:rPr>
        <w:t xml:space="preserve">ormalities </w:t>
      </w:r>
      <w:r w:rsidR="007D6AE6">
        <w:rPr>
          <w:bCs/>
          <w:sz w:val="24"/>
        </w:rPr>
        <w:t>r</w:t>
      </w:r>
      <w:r w:rsidRPr="00F52594">
        <w:rPr>
          <w:bCs/>
          <w:sz w:val="24"/>
        </w:rPr>
        <w:t xml:space="preserve">elated to the </w:t>
      </w:r>
      <w:r w:rsidR="007D6AE6">
        <w:rPr>
          <w:bCs/>
          <w:sz w:val="24"/>
        </w:rPr>
        <w:t>p</w:t>
      </w:r>
      <w:r w:rsidRPr="00F52594">
        <w:rPr>
          <w:bCs/>
          <w:sz w:val="24"/>
        </w:rPr>
        <w:t xml:space="preserve">ayment of </w:t>
      </w:r>
      <w:r w:rsidR="007D6AE6">
        <w:rPr>
          <w:bCs/>
          <w:sz w:val="24"/>
        </w:rPr>
        <w:t>i</w:t>
      </w:r>
      <w:r w:rsidRPr="00F52594">
        <w:rPr>
          <w:bCs/>
          <w:sz w:val="24"/>
        </w:rPr>
        <w:t>mport VAT.</w:t>
      </w:r>
    </w:p>
    <w:p w14:paraId="288C9E58" w14:textId="77777777" w:rsidR="00A77304" w:rsidRPr="00F52594" w:rsidRDefault="00A77304" w:rsidP="00A77304">
      <w:pPr>
        <w:jc w:val="both"/>
        <w:rPr>
          <w:bCs/>
          <w:sz w:val="24"/>
        </w:rPr>
      </w:pPr>
    </w:p>
    <w:p w14:paraId="6E358B9D" w14:textId="5523D88C" w:rsidR="00A77304" w:rsidRPr="00F52594" w:rsidRDefault="00A77304" w:rsidP="00A77304">
      <w:pPr>
        <w:jc w:val="both"/>
        <w:rPr>
          <w:b/>
          <w:i/>
          <w:iCs/>
          <w:sz w:val="24"/>
        </w:rPr>
      </w:pPr>
      <w:r w:rsidRPr="00F52594">
        <w:rPr>
          <w:b/>
          <w:i/>
          <w:iCs/>
          <w:sz w:val="24"/>
        </w:rPr>
        <w:t xml:space="preserve">Exemptions from </w:t>
      </w:r>
      <w:r w:rsidR="00B43158">
        <w:rPr>
          <w:b/>
          <w:i/>
          <w:iCs/>
          <w:sz w:val="24"/>
        </w:rPr>
        <w:t>import duties</w:t>
      </w:r>
      <w:r w:rsidRPr="00F52594">
        <w:rPr>
          <w:b/>
          <w:i/>
          <w:iCs/>
          <w:sz w:val="24"/>
        </w:rPr>
        <w:t xml:space="preserve"> </w:t>
      </w:r>
    </w:p>
    <w:p w14:paraId="531C7874" w14:textId="7DAF0C2C" w:rsidR="00A77304" w:rsidRDefault="00A77304" w:rsidP="00A77304">
      <w:pPr>
        <w:jc w:val="both"/>
        <w:rPr>
          <w:bCs/>
          <w:sz w:val="24"/>
        </w:rPr>
      </w:pPr>
      <w:r w:rsidRPr="00F52594">
        <w:rPr>
          <w:bCs/>
          <w:sz w:val="24"/>
        </w:rPr>
        <w:t xml:space="preserve">Goods may be exempt from import duties if they are imported for purposes specified in </w:t>
      </w:r>
      <w:hyperlink r:id="rId13" w:history="1">
        <w:r w:rsidRPr="00F52594">
          <w:rPr>
            <w:rStyle w:val="Hiperpovezava"/>
            <w:bCs/>
            <w:sz w:val="24"/>
          </w:rPr>
          <w:t>Council Regulation No. 1186/2009</w:t>
        </w:r>
      </w:hyperlink>
      <w:r w:rsidRPr="00F52594">
        <w:rPr>
          <w:bCs/>
          <w:sz w:val="24"/>
        </w:rPr>
        <w:t xml:space="preserve">, on the system of reliefs from customs duty in the Union and are also exempt from VAT in accordance with the Value Added Tax Act. Exemptions are detailed in the Instructions on </w:t>
      </w:r>
      <w:r w:rsidR="003A7960">
        <w:rPr>
          <w:bCs/>
          <w:sz w:val="24"/>
        </w:rPr>
        <w:t>e</w:t>
      </w:r>
      <w:r w:rsidRPr="00F52594">
        <w:rPr>
          <w:bCs/>
          <w:sz w:val="24"/>
        </w:rPr>
        <w:t xml:space="preserve">xercising the </w:t>
      </w:r>
      <w:r w:rsidR="003A7960">
        <w:rPr>
          <w:bCs/>
          <w:sz w:val="24"/>
        </w:rPr>
        <w:t>r</w:t>
      </w:r>
      <w:r w:rsidRPr="00F52594">
        <w:rPr>
          <w:bCs/>
          <w:sz w:val="24"/>
        </w:rPr>
        <w:t xml:space="preserve">ight to </w:t>
      </w:r>
      <w:r w:rsidR="003A7960">
        <w:rPr>
          <w:bCs/>
          <w:sz w:val="24"/>
        </w:rPr>
        <w:t>e</w:t>
      </w:r>
      <w:r w:rsidRPr="00F52594">
        <w:rPr>
          <w:bCs/>
          <w:sz w:val="24"/>
        </w:rPr>
        <w:t xml:space="preserve">xemption from </w:t>
      </w:r>
      <w:r w:rsidR="003A7960">
        <w:rPr>
          <w:bCs/>
          <w:sz w:val="24"/>
        </w:rPr>
        <w:t>i</w:t>
      </w:r>
      <w:r w:rsidRPr="00F52594">
        <w:rPr>
          <w:bCs/>
          <w:sz w:val="24"/>
        </w:rPr>
        <w:t xml:space="preserve">mport </w:t>
      </w:r>
      <w:r w:rsidR="003A7960">
        <w:rPr>
          <w:bCs/>
          <w:sz w:val="24"/>
        </w:rPr>
        <w:t>d</w:t>
      </w:r>
      <w:r w:rsidRPr="00F52594">
        <w:rPr>
          <w:bCs/>
          <w:sz w:val="24"/>
        </w:rPr>
        <w:t xml:space="preserve">uties and </w:t>
      </w:r>
      <w:r w:rsidR="003A7960">
        <w:rPr>
          <w:bCs/>
          <w:sz w:val="24"/>
        </w:rPr>
        <w:t>o</w:t>
      </w:r>
      <w:r w:rsidRPr="00F52594">
        <w:rPr>
          <w:bCs/>
          <w:sz w:val="24"/>
        </w:rPr>
        <w:t xml:space="preserve">ther </w:t>
      </w:r>
      <w:r w:rsidR="003A7960">
        <w:rPr>
          <w:bCs/>
          <w:sz w:val="24"/>
        </w:rPr>
        <w:t>d</w:t>
      </w:r>
      <w:r w:rsidRPr="00F52594">
        <w:rPr>
          <w:bCs/>
          <w:sz w:val="24"/>
        </w:rPr>
        <w:t xml:space="preserve">uties </w:t>
      </w:r>
      <w:r w:rsidR="003A7960">
        <w:rPr>
          <w:bCs/>
          <w:sz w:val="24"/>
        </w:rPr>
        <w:t>p</w:t>
      </w:r>
      <w:r w:rsidRPr="00F52594">
        <w:rPr>
          <w:bCs/>
          <w:sz w:val="24"/>
        </w:rPr>
        <w:t xml:space="preserve">ayable on </w:t>
      </w:r>
      <w:r w:rsidR="003A7960">
        <w:rPr>
          <w:bCs/>
          <w:sz w:val="24"/>
        </w:rPr>
        <w:t>i</w:t>
      </w:r>
      <w:r w:rsidRPr="00F52594">
        <w:rPr>
          <w:bCs/>
          <w:sz w:val="24"/>
        </w:rPr>
        <w:t>mportation.</w:t>
      </w:r>
    </w:p>
    <w:p w14:paraId="7796D1E1" w14:textId="77777777" w:rsidR="00B43158" w:rsidRDefault="00B43158" w:rsidP="00A77304">
      <w:pPr>
        <w:jc w:val="both"/>
        <w:rPr>
          <w:bCs/>
          <w:sz w:val="24"/>
        </w:rPr>
      </w:pPr>
    </w:p>
    <w:p w14:paraId="179FFC93" w14:textId="69A82556" w:rsidR="00B43158" w:rsidRPr="00F52594" w:rsidRDefault="00B43158" w:rsidP="00A77304">
      <w:pPr>
        <w:jc w:val="both"/>
        <w:rPr>
          <w:bCs/>
          <w:sz w:val="24"/>
        </w:rPr>
      </w:pPr>
      <w:r>
        <w:rPr>
          <w:bCs/>
          <w:sz w:val="24"/>
        </w:rPr>
        <w:t xml:space="preserve">More information you can find </w:t>
      </w:r>
      <w:hyperlink r:id="rId14" w:history="1">
        <w:r w:rsidRPr="00B43158">
          <w:rPr>
            <w:rStyle w:val="Hiperpovezava"/>
            <w:bCs/>
            <w:sz w:val="24"/>
          </w:rPr>
          <w:t>here.</w:t>
        </w:r>
      </w:hyperlink>
    </w:p>
    <w:p w14:paraId="03A7B849" w14:textId="77777777" w:rsidR="001E510D" w:rsidRPr="00F52594" w:rsidRDefault="001E510D" w:rsidP="00A77304">
      <w:pPr>
        <w:jc w:val="both"/>
        <w:rPr>
          <w:bCs/>
          <w:sz w:val="24"/>
        </w:rPr>
      </w:pPr>
    </w:p>
    <w:p w14:paraId="0B132E21" w14:textId="125B9783" w:rsidR="001E510D" w:rsidRPr="00F52594" w:rsidRDefault="001E510D" w:rsidP="009D3948">
      <w:pPr>
        <w:pStyle w:val="Naslov1"/>
        <w:numPr>
          <w:ilvl w:val="0"/>
          <w:numId w:val="9"/>
        </w:numPr>
        <w:rPr>
          <w:lang w:val="en-US"/>
        </w:rPr>
      </w:pPr>
      <w:bookmarkStart w:id="1" w:name="_Toc173849622"/>
      <w:r w:rsidRPr="00F52594">
        <w:rPr>
          <w:lang w:val="en-US"/>
        </w:rPr>
        <w:t xml:space="preserve">Release for </w:t>
      </w:r>
      <w:r w:rsidR="00BA5A24">
        <w:rPr>
          <w:lang w:val="en-US"/>
        </w:rPr>
        <w:t>f</w:t>
      </w:r>
      <w:r w:rsidRPr="00F52594">
        <w:rPr>
          <w:lang w:val="en-US"/>
        </w:rPr>
        <w:t xml:space="preserve">ree </w:t>
      </w:r>
      <w:r w:rsidR="00BA5A24">
        <w:rPr>
          <w:lang w:val="en-US"/>
        </w:rPr>
        <w:t>c</w:t>
      </w:r>
      <w:r w:rsidRPr="00F52594">
        <w:rPr>
          <w:lang w:val="en-US"/>
        </w:rPr>
        <w:t xml:space="preserve">irculation </w:t>
      </w:r>
      <w:r w:rsidR="00BA5A24">
        <w:rPr>
          <w:lang w:val="en-US"/>
        </w:rPr>
        <w:t>with</w:t>
      </w:r>
      <w:r w:rsidRPr="00F52594">
        <w:rPr>
          <w:lang w:val="en-US"/>
        </w:rPr>
        <w:t xml:space="preserve"> end-use</w:t>
      </w:r>
      <w:bookmarkEnd w:id="1"/>
      <w:r w:rsidRPr="00F52594">
        <w:rPr>
          <w:lang w:val="en-US"/>
        </w:rPr>
        <w:t xml:space="preserve"> </w:t>
      </w:r>
    </w:p>
    <w:p w14:paraId="3EA597E6" w14:textId="77777777" w:rsidR="001E510D" w:rsidRPr="00F52594" w:rsidRDefault="001E510D" w:rsidP="001E510D">
      <w:pPr>
        <w:jc w:val="both"/>
        <w:rPr>
          <w:bCs/>
          <w:sz w:val="24"/>
        </w:rPr>
      </w:pPr>
    </w:p>
    <w:p w14:paraId="55BB6B33" w14:textId="2659937A" w:rsidR="001E510D" w:rsidRDefault="00B43158" w:rsidP="001E510D">
      <w:pPr>
        <w:jc w:val="both"/>
        <w:rPr>
          <w:bCs/>
          <w:sz w:val="24"/>
        </w:rPr>
      </w:pPr>
      <w:r w:rsidRPr="00B43158">
        <w:rPr>
          <w:bCs/>
          <w:sz w:val="24"/>
        </w:rPr>
        <w:t>Goods released for free circulation with end use can be subject to a reduced or zero rate of import duty on account of their end use. Such goods remain under customs supervision after their release.</w:t>
      </w:r>
    </w:p>
    <w:p w14:paraId="7B392A61" w14:textId="77777777" w:rsidR="00B43158" w:rsidRPr="00F52594" w:rsidRDefault="00B43158" w:rsidP="001E510D">
      <w:pPr>
        <w:jc w:val="both"/>
        <w:rPr>
          <w:bCs/>
          <w:sz w:val="24"/>
        </w:rPr>
      </w:pPr>
    </w:p>
    <w:p w14:paraId="120C5640" w14:textId="1E5E899E" w:rsidR="001E510D" w:rsidRPr="00F52594" w:rsidRDefault="00314CEF" w:rsidP="001E510D">
      <w:pPr>
        <w:jc w:val="both"/>
        <w:rPr>
          <w:bCs/>
          <w:sz w:val="24"/>
        </w:rPr>
      </w:pPr>
      <w:r w:rsidRPr="00314CEF">
        <w:rPr>
          <w:bCs/>
          <w:sz w:val="24"/>
        </w:rPr>
        <w:t xml:space="preserve">An </w:t>
      </w:r>
      <w:proofErr w:type="spellStart"/>
      <w:r w:rsidRPr="00314CEF">
        <w:rPr>
          <w:bCs/>
          <w:sz w:val="24"/>
        </w:rPr>
        <w:t>authorisation</w:t>
      </w:r>
      <w:proofErr w:type="spellEnd"/>
      <w:r w:rsidRPr="00314CEF">
        <w:rPr>
          <w:bCs/>
          <w:sz w:val="24"/>
        </w:rPr>
        <w:t xml:space="preserve"> from the customs authorities is required to carry out end-</w:t>
      </w:r>
      <w:proofErr w:type="gramStart"/>
      <w:r w:rsidRPr="00314CEF">
        <w:rPr>
          <w:bCs/>
          <w:sz w:val="24"/>
        </w:rPr>
        <w:t>use  procedure</w:t>
      </w:r>
      <w:proofErr w:type="gramEnd"/>
      <w:r w:rsidRPr="00314CEF">
        <w:rPr>
          <w:bCs/>
          <w:sz w:val="24"/>
        </w:rPr>
        <w:t xml:space="preserve">. </w:t>
      </w:r>
      <w:r w:rsidR="001E510D" w:rsidRPr="00F52594">
        <w:rPr>
          <w:bCs/>
          <w:sz w:val="24"/>
        </w:rPr>
        <w:t xml:space="preserve"> The application is submitted on a prescribed form. In some cases, the application for authorization can also be submitted in the form of a customs declaration. The customs declaration is submitted to the office responsible for the place where the business records and at least part of the operations covered by the authorization are kept.</w:t>
      </w:r>
    </w:p>
    <w:p w14:paraId="7E559D1A" w14:textId="77777777" w:rsidR="001E510D" w:rsidRPr="00F52594" w:rsidRDefault="001E510D" w:rsidP="001E510D">
      <w:pPr>
        <w:jc w:val="both"/>
        <w:rPr>
          <w:bCs/>
          <w:sz w:val="24"/>
        </w:rPr>
      </w:pPr>
    </w:p>
    <w:p w14:paraId="6DE1BE8C" w14:textId="5232D3BB" w:rsidR="001E510D" w:rsidRPr="00F52594" w:rsidRDefault="001E510D" w:rsidP="001E510D">
      <w:pPr>
        <w:jc w:val="both"/>
        <w:rPr>
          <w:bCs/>
          <w:sz w:val="24"/>
        </w:rPr>
      </w:pPr>
      <w:r w:rsidRPr="00F52594">
        <w:rPr>
          <w:bCs/>
          <w:sz w:val="24"/>
        </w:rPr>
        <w:t xml:space="preserve">The procedure for releasing goods for free circulation for special use is detailed in the Instructions on the </w:t>
      </w:r>
      <w:r w:rsidR="007D6AE6">
        <w:rPr>
          <w:bCs/>
          <w:sz w:val="24"/>
        </w:rPr>
        <w:t>r</w:t>
      </w:r>
      <w:r w:rsidRPr="00F52594">
        <w:rPr>
          <w:bCs/>
          <w:sz w:val="24"/>
        </w:rPr>
        <w:t xml:space="preserve">elease of </w:t>
      </w:r>
      <w:r w:rsidR="007D6AE6">
        <w:rPr>
          <w:bCs/>
          <w:sz w:val="24"/>
        </w:rPr>
        <w:t>g</w:t>
      </w:r>
      <w:r w:rsidRPr="00F52594">
        <w:rPr>
          <w:bCs/>
          <w:sz w:val="24"/>
        </w:rPr>
        <w:t xml:space="preserve">oods </w:t>
      </w:r>
      <w:r w:rsidR="007D6AE6">
        <w:rPr>
          <w:bCs/>
          <w:sz w:val="24"/>
        </w:rPr>
        <w:t>s</w:t>
      </w:r>
      <w:r w:rsidRPr="00F52594">
        <w:rPr>
          <w:bCs/>
          <w:sz w:val="24"/>
        </w:rPr>
        <w:t xml:space="preserve">ubject to </w:t>
      </w:r>
      <w:r w:rsidR="007D6AE6">
        <w:rPr>
          <w:bCs/>
          <w:sz w:val="24"/>
        </w:rPr>
        <w:t>c</w:t>
      </w:r>
      <w:r w:rsidRPr="00F52594">
        <w:rPr>
          <w:bCs/>
          <w:sz w:val="24"/>
        </w:rPr>
        <w:t xml:space="preserve">ustoms </w:t>
      </w:r>
      <w:r w:rsidR="007D6AE6">
        <w:rPr>
          <w:bCs/>
          <w:sz w:val="24"/>
        </w:rPr>
        <w:t>s</w:t>
      </w:r>
      <w:r w:rsidRPr="00F52594">
        <w:rPr>
          <w:bCs/>
          <w:sz w:val="24"/>
        </w:rPr>
        <w:t xml:space="preserve">upervision for </w:t>
      </w:r>
      <w:r w:rsidR="007D6AE6">
        <w:rPr>
          <w:bCs/>
          <w:sz w:val="24"/>
        </w:rPr>
        <w:t>s</w:t>
      </w:r>
      <w:r w:rsidRPr="00F52594">
        <w:rPr>
          <w:bCs/>
          <w:sz w:val="24"/>
        </w:rPr>
        <w:t xml:space="preserve">pecial </w:t>
      </w:r>
      <w:r w:rsidR="007D6AE6">
        <w:rPr>
          <w:bCs/>
          <w:sz w:val="24"/>
        </w:rPr>
        <w:t>u</w:t>
      </w:r>
      <w:r w:rsidRPr="00F52594">
        <w:rPr>
          <w:bCs/>
          <w:sz w:val="24"/>
        </w:rPr>
        <w:t xml:space="preserve">se into </w:t>
      </w:r>
      <w:r w:rsidR="007D6AE6">
        <w:rPr>
          <w:bCs/>
          <w:sz w:val="24"/>
        </w:rPr>
        <w:t>f</w:t>
      </w:r>
      <w:r w:rsidRPr="00F52594">
        <w:rPr>
          <w:bCs/>
          <w:sz w:val="24"/>
        </w:rPr>
        <w:t xml:space="preserve">ree </w:t>
      </w:r>
      <w:r w:rsidR="007D6AE6">
        <w:rPr>
          <w:bCs/>
          <w:sz w:val="24"/>
        </w:rPr>
        <w:t>c</w:t>
      </w:r>
      <w:r w:rsidRPr="00F52594">
        <w:rPr>
          <w:bCs/>
          <w:sz w:val="24"/>
        </w:rPr>
        <w:t>irculation.</w:t>
      </w:r>
    </w:p>
    <w:p w14:paraId="7C7040A0" w14:textId="77777777" w:rsidR="001E510D" w:rsidRPr="00F52594" w:rsidRDefault="001E510D" w:rsidP="001E510D">
      <w:pPr>
        <w:jc w:val="both"/>
        <w:rPr>
          <w:bCs/>
          <w:sz w:val="24"/>
        </w:rPr>
      </w:pPr>
    </w:p>
    <w:p w14:paraId="1D203EF1" w14:textId="52CE010D" w:rsidR="001E510D" w:rsidRPr="00F52594" w:rsidRDefault="001E510D" w:rsidP="009D3948">
      <w:pPr>
        <w:pStyle w:val="Naslov1"/>
        <w:numPr>
          <w:ilvl w:val="0"/>
          <w:numId w:val="9"/>
        </w:numPr>
        <w:rPr>
          <w:lang w:val="en-US"/>
        </w:rPr>
      </w:pPr>
      <w:bookmarkStart w:id="2" w:name="_Toc173849623"/>
      <w:r w:rsidRPr="00F52594">
        <w:rPr>
          <w:lang w:val="en-US"/>
        </w:rPr>
        <w:t>Procedure 42</w:t>
      </w:r>
      <w:bookmarkEnd w:id="2"/>
      <w:r w:rsidRPr="00F52594">
        <w:rPr>
          <w:lang w:val="en-US"/>
        </w:rPr>
        <w:t xml:space="preserve"> </w:t>
      </w:r>
    </w:p>
    <w:p w14:paraId="2D786495" w14:textId="77777777" w:rsidR="001E510D" w:rsidRPr="00F52594" w:rsidRDefault="001E510D" w:rsidP="001E510D">
      <w:pPr>
        <w:jc w:val="both"/>
        <w:rPr>
          <w:bCs/>
          <w:sz w:val="24"/>
        </w:rPr>
      </w:pPr>
    </w:p>
    <w:p w14:paraId="3C471C0E" w14:textId="791B7585" w:rsidR="001E510D" w:rsidRPr="00F52594" w:rsidRDefault="001E510D" w:rsidP="001E510D">
      <w:pPr>
        <w:jc w:val="both"/>
        <w:rPr>
          <w:bCs/>
          <w:sz w:val="24"/>
        </w:rPr>
      </w:pPr>
      <w:r w:rsidRPr="00F52594">
        <w:rPr>
          <w:bCs/>
          <w:sz w:val="24"/>
        </w:rPr>
        <w:t>Procedure 42 is the procedure for releasing goods for free circulation and placing them into home use for goods exempt from VAT within the framework of a tax-exempt supply to another Member State. Upon release for free circulation, customs duty and other import duties are paid, but since the goods will be supplied to another Member State, they are exempt from VAT.</w:t>
      </w:r>
    </w:p>
    <w:p w14:paraId="0F0C078D" w14:textId="77777777" w:rsidR="001E510D" w:rsidRPr="00F52594" w:rsidRDefault="001E510D" w:rsidP="001E510D">
      <w:pPr>
        <w:jc w:val="both"/>
        <w:rPr>
          <w:bCs/>
          <w:sz w:val="24"/>
        </w:rPr>
      </w:pPr>
    </w:p>
    <w:p w14:paraId="5B8A641E" w14:textId="77777777" w:rsidR="001E510D" w:rsidRPr="00F52594" w:rsidRDefault="001E510D" w:rsidP="001E510D">
      <w:pPr>
        <w:jc w:val="both"/>
        <w:rPr>
          <w:rFonts w:cs="Arial"/>
          <w:bCs/>
          <w:sz w:val="24"/>
        </w:rPr>
      </w:pPr>
      <w:r w:rsidRPr="00F52594">
        <w:rPr>
          <w:rFonts w:cs="Arial"/>
          <w:bCs/>
          <w:sz w:val="24"/>
        </w:rPr>
        <w:t>Procedure 42 is allowed if the declaration includes:</w:t>
      </w:r>
    </w:p>
    <w:p w14:paraId="6C2A3572" w14:textId="38CFEADE" w:rsidR="001E510D" w:rsidRPr="00F52594" w:rsidRDefault="00314CEF" w:rsidP="001E510D">
      <w:pPr>
        <w:pStyle w:val="Odstavekseznama"/>
        <w:numPr>
          <w:ilvl w:val="0"/>
          <w:numId w:val="8"/>
        </w:numPr>
        <w:jc w:val="both"/>
        <w:rPr>
          <w:rFonts w:ascii="Arial" w:hAnsi="Arial" w:cs="Arial"/>
          <w:bCs/>
          <w:sz w:val="24"/>
          <w:lang w:val="en-US"/>
        </w:rPr>
      </w:pPr>
      <w:r>
        <w:rPr>
          <w:rFonts w:ascii="Arial" w:hAnsi="Arial" w:cs="Arial"/>
          <w:bCs/>
          <w:sz w:val="24"/>
          <w:lang w:val="en-US"/>
        </w:rPr>
        <w:lastRenderedPageBreak/>
        <w:t>t</w:t>
      </w:r>
      <w:r w:rsidR="001E510D" w:rsidRPr="00F52594">
        <w:rPr>
          <w:rFonts w:ascii="Arial" w:hAnsi="Arial" w:cs="Arial"/>
          <w:bCs/>
          <w:sz w:val="24"/>
          <w:lang w:val="en-US"/>
        </w:rPr>
        <w:t>he Slovenian VAT identification number of the importer from PE 3/15, 3/16 of the declaration (which is entered in PE 3/40 under code FR1) or their tax representative (which is entered in PE 3/40 under code FR3</w:t>
      </w:r>
      <w:proofErr w:type="gramStart"/>
      <w:r w:rsidR="001E510D" w:rsidRPr="00F52594">
        <w:rPr>
          <w:rFonts w:ascii="Arial" w:hAnsi="Arial" w:cs="Arial"/>
          <w:bCs/>
          <w:sz w:val="24"/>
          <w:lang w:val="en-US"/>
        </w:rPr>
        <w:t>);</w:t>
      </w:r>
      <w:proofErr w:type="gramEnd"/>
    </w:p>
    <w:p w14:paraId="1537974B" w14:textId="00A93760" w:rsidR="001E510D" w:rsidRPr="00F52594" w:rsidRDefault="00314CEF" w:rsidP="001E510D">
      <w:pPr>
        <w:pStyle w:val="Odstavekseznama"/>
        <w:numPr>
          <w:ilvl w:val="0"/>
          <w:numId w:val="8"/>
        </w:numPr>
        <w:jc w:val="both"/>
        <w:rPr>
          <w:rFonts w:ascii="Arial" w:hAnsi="Arial" w:cs="Arial"/>
          <w:bCs/>
          <w:sz w:val="24"/>
          <w:lang w:val="en-US"/>
        </w:rPr>
      </w:pPr>
      <w:r>
        <w:rPr>
          <w:rFonts w:ascii="Arial" w:hAnsi="Arial" w:cs="Arial"/>
          <w:bCs/>
          <w:sz w:val="24"/>
          <w:lang w:val="en-US"/>
        </w:rPr>
        <w:t>t</w:t>
      </w:r>
      <w:r w:rsidR="001E510D" w:rsidRPr="00F52594">
        <w:rPr>
          <w:rFonts w:ascii="Arial" w:hAnsi="Arial" w:cs="Arial"/>
          <w:bCs/>
          <w:sz w:val="24"/>
          <w:lang w:val="en-US"/>
        </w:rPr>
        <w:t>he VAT identification number of the recipient of the goods from another Member State (which is entered in PE 3/40 under code FR2); and</w:t>
      </w:r>
    </w:p>
    <w:p w14:paraId="27BF179B" w14:textId="755613BC" w:rsidR="001E510D" w:rsidRPr="00F52594" w:rsidRDefault="00314CEF" w:rsidP="001E510D">
      <w:pPr>
        <w:pStyle w:val="Odstavekseznama"/>
        <w:numPr>
          <w:ilvl w:val="0"/>
          <w:numId w:val="8"/>
        </w:numPr>
        <w:jc w:val="both"/>
        <w:rPr>
          <w:rFonts w:ascii="Arial" w:hAnsi="Arial" w:cs="Arial"/>
          <w:bCs/>
          <w:sz w:val="24"/>
          <w:lang w:val="en-US"/>
        </w:rPr>
      </w:pPr>
      <w:r>
        <w:rPr>
          <w:rFonts w:ascii="Arial" w:hAnsi="Arial" w:cs="Arial"/>
          <w:bCs/>
          <w:sz w:val="24"/>
          <w:lang w:val="en-US"/>
        </w:rPr>
        <w:t>p</w:t>
      </w:r>
      <w:r w:rsidR="001E510D" w:rsidRPr="00F52594">
        <w:rPr>
          <w:rFonts w:ascii="Arial" w:hAnsi="Arial" w:cs="Arial"/>
          <w:bCs/>
          <w:sz w:val="24"/>
          <w:lang w:val="en-US"/>
        </w:rPr>
        <w:t>roof that the goods will leave the territory of the Republic of Slovenia and go to another Member State (transport document or declaration of dispatch of goods to another Member State).</w:t>
      </w:r>
    </w:p>
    <w:p w14:paraId="5431A02D" w14:textId="03024CA0" w:rsidR="001E510D" w:rsidRPr="00F52594" w:rsidRDefault="001E510D" w:rsidP="001E510D">
      <w:pPr>
        <w:jc w:val="both"/>
        <w:rPr>
          <w:bCs/>
          <w:sz w:val="24"/>
        </w:rPr>
      </w:pPr>
      <w:r w:rsidRPr="00F52594">
        <w:rPr>
          <w:bCs/>
          <w:sz w:val="24"/>
        </w:rPr>
        <w:t xml:space="preserve">The declarant or customs representative </w:t>
      </w:r>
      <w:r w:rsidR="007E47FF">
        <w:rPr>
          <w:bCs/>
          <w:sz w:val="24"/>
        </w:rPr>
        <w:t>must</w:t>
      </w:r>
      <w:r w:rsidRPr="00F52594">
        <w:rPr>
          <w:bCs/>
          <w:sz w:val="24"/>
        </w:rPr>
        <w:t xml:space="preserve"> verify </w:t>
      </w:r>
      <w:r w:rsidR="007E47FF">
        <w:rPr>
          <w:bCs/>
          <w:sz w:val="24"/>
        </w:rPr>
        <w:t>whether all</w:t>
      </w:r>
      <w:r w:rsidRPr="00F52594">
        <w:rPr>
          <w:bCs/>
          <w:sz w:val="24"/>
        </w:rPr>
        <w:t xml:space="preserve"> conditions for </w:t>
      </w:r>
      <w:r w:rsidR="007E47FF">
        <w:rPr>
          <w:bCs/>
          <w:sz w:val="24"/>
        </w:rPr>
        <w:t>p</w:t>
      </w:r>
      <w:r w:rsidRPr="00F52594">
        <w:rPr>
          <w:bCs/>
          <w:sz w:val="24"/>
        </w:rPr>
        <w:t>rocedure 42</w:t>
      </w:r>
      <w:r w:rsidR="007E47FF">
        <w:rPr>
          <w:bCs/>
          <w:sz w:val="24"/>
        </w:rPr>
        <w:t xml:space="preserve"> </w:t>
      </w:r>
      <w:r w:rsidR="007E47FF" w:rsidRPr="007E47FF">
        <w:rPr>
          <w:bCs/>
          <w:sz w:val="24"/>
        </w:rPr>
        <w:t xml:space="preserve">are met and can use the following </w:t>
      </w:r>
      <w:r w:rsidR="00C34CA3">
        <w:rPr>
          <w:bCs/>
          <w:sz w:val="24"/>
        </w:rPr>
        <w:t>i</w:t>
      </w:r>
      <w:r w:rsidR="007E47FF" w:rsidRPr="007E47FF">
        <w:rPr>
          <w:bCs/>
          <w:sz w:val="24"/>
        </w:rPr>
        <w:t>nternet tools to check the validity of EORI and VAT identification numbers:</w:t>
      </w:r>
    </w:p>
    <w:p w14:paraId="27CC7681" w14:textId="7FC8A509" w:rsidR="001E510D" w:rsidRPr="00F52594" w:rsidRDefault="001E510D" w:rsidP="001E510D">
      <w:pPr>
        <w:pStyle w:val="Odstavekseznama"/>
        <w:numPr>
          <w:ilvl w:val="0"/>
          <w:numId w:val="8"/>
        </w:numPr>
        <w:jc w:val="both"/>
        <w:rPr>
          <w:rFonts w:ascii="Arial" w:hAnsi="Arial" w:cs="Arial"/>
          <w:bCs/>
          <w:sz w:val="24"/>
          <w:lang w:val="en-US"/>
        </w:rPr>
      </w:pPr>
      <w:r w:rsidRPr="00F52594">
        <w:rPr>
          <w:rFonts w:ascii="Arial" w:hAnsi="Arial" w:cs="Arial"/>
          <w:bCs/>
          <w:sz w:val="24"/>
          <w:lang w:val="en-US"/>
        </w:rPr>
        <w:t xml:space="preserve">EORI numbers on the website </w:t>
      </w:r>
      <w:hyperlink r:id="rId15" w:history="1">
        <w:r w:rsidRPr="00F52594">
          <w:rPr>
            <w:rStyle w:val="Hiperpovezava"/>
            <w:rFonts w:ascii="Arial" w:hAnsi="Arial" w:cs="Arial"/>
            <w:bCs/>
            <w:sz w:val="24"/>
            <w:lang w:val="en-US"/>
          </w:rPr>
          <w:t>Checking the Validity of EORI Numbers</w:t>
        </w:r>
      </w:hyperlink>
      <w:r w:rsidRPr="00F52594">
        <w:rPr>
          <w:rFonts w:ascii="Arial" w:hAnsi="Arial" w:cs="Arial"/>
          <w:bCs/>
          <w:sz w:val="24"/>
          <w:lang w:val="en-US"/>
        </w:rPr>
        <w:t>,</w:t>
      </w:r>
    </w:p>
    <w:p w14:paraId="5073F212" w14:textId="7DA6032D" w:rsidR="001E510D" w:rsidRPr="00F52594" w:rsidRDefault="001E510D" w:rsidP="001E510D">
      <w:pPr>
        <w:pStyle w:val="Odstavekseznama"/>
        <w:numPr>
          <w:ilvl w:val="0"/>
          <w:numId w:val="8"/>
        </w:numPr>
        <w:jc w:val="both"/>
        <w:rPr>
          <w:rFonts w:ascii="Arial" w:hAnsi="Arial" w:cs="Arial"/>
          <w:bCs/>
          <w:sz w:val="24"/>
          <w:lang w:val="en-US"/>
        </w:rPr>
      </w:pPr>
      <w:r w:rsidRPr="00F52594">
        <w:rPr>
          <w:rFonts w:ascii="Arial" w:hAnsi="Arial" w:cs="Arial"/>
          <w:bCs/>
          <w:sz w:val="24"/>
          <w:lang w:val="en-US"/>
        </w:rPr>
        <w:t xml:space="preserve">VAT identification numbers on the website </w:t>
      </w:r>
      <w:hyperlink r:id="rId16" w:anchor="/vat-validation" w:history="1">
        <w:r w:rsidRPr="00F52594">
          <w:rPr>
            <w:rStyle w:val="Hiperpovezava"/>
            <w:rFonts w:ascii="Arial" w:hAnsi="Arial" w:cs="Arial"/>
            <w:bCs/>
            <w:sz w:val="24"/>
            <w:lang w:val="en-US"/>
          </w:rPr>
          <w:t>VIES VAT validation</w:t>
        </w:r>
      </w:hyperlink>
      <w:r w:rsidRPr="00F52594">
        <w:rPr>
          <w:rFonts w:ascii="Arial" w:hAnsi="Arial" w:cs="Arial"/>
          <w:bCs/>
          <w:sz w:val="24"/>
          <w:lang w:val="en-US"/>
        </w:rPr>
        <w:t>.</w:t>
      </w:r>
    </w:p>
    <w:p w14:paraId="4468E3E8" w14:textId="63EEABCD" w:rsidR="001E510D" w:rsidRPr="00F52594" w:rsidRDefault="001E510D" w:rsidP="001E510D">
      <w:pPr>
        <w:jc w:val="both"/>
        <w:rPr>
          <w:bCs/>
          <w:sz w:val="24"/>
        </w:rPr>
      </w:pPr>
      <w:r w:rsidRPr="00F52594">
        <w:rPr>
          <w:bCs/>
          <w:sz w:val="24"/>
        </w:rPr>
        <w:t xml:space="preserve">Procedure 42 is detailed and illustrated with examples in the Instructions on the </w:t>
      </w:r>
      <w:r w:rsidR="00C34CA3">
        <w:rPr>
          <w:bCs/>
          <w:sz w:val="24"/>
        </w:rPr>
        <w:t>i</w:t>
      </w:r>
      <w:r w:rsidRPr="00F52594">
        <w:rPr>
          <w:bCs/>
          <w:sz w:val="24"/>
        </w:rPr>
        <w:t xml:space="preserve">mplementation of the </w:t>
      </w:r>
      <w:r w:rsidR="00C34CA3">
        <w:rPr>
          <w:bCs/>
          <w:sz w:val="24"/>
        </w:rPr>
        <w:t>p</w:t>
      </w:r>
      <w:r w:rsidRPr="00F52594">
        <w:rPr>
          <w:bCs/>
          <w:sz w:val="24"/>
        </w:rPr>
        <w:t xml:space="preserve">rocedure for </w:t>
      </w:r>
      <w:r w:rsidR="00C34CA3">
        <w:rPr>
          <w:bCs/>
          <w:sz w:val="24"/>
        </w:rPr>
        <w:t>r</w:t>
      </w:r>
      <w:r w:rsidRPr="00F52594">
        <w:rPr>
          <w:bCs/>
          <w:sz w:val="24"/>
        </w:rPr>
        <w:t xml:space="preserve">eleasing </w:t>
      </w:r>
      <w:r w:rsidR="00C34CA3">
        <w:rPr>
          <w:bCs/>
          <w:sz w:val="24"/>
        </w:rPr>
        <w:t>g</w:t>
      </w:r>
      <w:r w:rsidRPr="00F52594">
        <w:rPr>
          <w:bCs/>
          <w:sz w:val="24"/>
        </w:rPr>
        <w:t xml:space="preserve">oods for </w:t>
      </w:r>
      <w:r w:rsidR="00C34CA3">
        <w:rPr>
          <w:bCs/>
          <w:sz w:val="24"/>
        </w:rPr>
        <w:t>f</w:t>
      </w:r>
      <w:r w:rsidRPr="00F52594">
        <w:rPr>
          <w:bCs/>
          <w:sz w:val="24"/>
        </w:rPr>
        <w:t xml:space="preserve">ree </w:t>
      </w:r>
      <w:r w:rsidR="00C34CA3">
        <w:rPr>
          <w:bCs/>
          <w:sz w:val="24"/>
        </w:rPr>
        <w:t>c</w:t>
      </w:r>
      <w:r w:rsidRPr="00F52594">
        <w:rPr>
          <w:bCs/>
          <w:sz w:val="24"/>
        </w:rPr>
        <w:t>irculation with VAT-</w:t>
      </w:r>
      <w:r w:rsidR="00C34CA3">
        <w:rPr>
          <w:bCs/>
          <w:sz w:val="24"/>
        </w:rPr>
        <w:t>e</w:t>
      </w:r>
      <w:r w:rsidRPr="00F52594">
        <w:rPr>
          <w:bCs/>
          <w:sz w:val="24"/>
        </w:rPr>
        <w:t xml:space="preserve">xempt </w:t>
      </w:r>
      <w:r w:rsidR="00C34CA3">
        <w:rPr>
          <w:bCs/>
          <w:sz w:val="24"/>
        </w:rPr>
        <w:t>s</w:t>
      </w:r>
      <w:r w:rsidRPr="00F52594">
        <w:rPr>
          <w:bCs/>
          <w:sz w:val="24"/>
        </w:rPr>
        <w:t xml:space="preserve">upply to </w:t>
      </w:r>
      <w:r w:rsidR="00C34CA3">
        <w:rPr>
          <w:bCs/>
          <w:sz w:val="24"/>
        </w:rPr>
        <w:t>a</w:t>
      </w:r>
      <w:r w:rsidRPr="00F52594">
        <w:rPr>
          <w:bCs/>
          <w:sz w:val="24"/>
        </w:rPr>
        <w:t>nother Member State.</w:t>
      </w:r>
    </w:p>
    <w:p w14:paraId="7E9951DB" w14:textId="77777777" w:rsidR="00A17048" w:rsidRPr="00F52594" w:rsidRDefault="00A17048" w:rsidP="001E510D">
      <w:pPr>
        <w:jc w:val="both"/>
        <w:rPr>
          <w:bCs/>
          <w:sz w:val="24"/>
        </w:rPr>
      </w:pPr>
    </w:p>
    <w:p w14:paraId="75DD388B" w14:textId="73F34C4B" w:rsidR="00C9591F" w:rsidRPr="00F52594" w:rsidRDefault="00C9591F" w:rsidP="009D3948">
      <w:pPr>
        <w:pStyle w:val="Naslov1"/>
        <w:numPr>
          <w:ilvl w:val="0"/>
          <w:numId w:val="9"/>
        </w:numPr>
        <w:rPr>
          <w:lang w:val="en-US"/>
        </w:rPr>
      </w:pPr>
      <w:bookmarkStart w:id="3" w:name="_Toc173849624"/>
      <w:r w:rsidRPr="00F52594">
        <w:rPr>
          <w:lang w:val="en-US"/>
        </w:rPr>
        <w:t xml:space="preserve">Inward </w:t>
      </w:r>
      <w:r w:rsidR="00BA5A24">
        <w:rPr>
          <w:lang w:val="en-US"/>
        </w:rPr>
        <w:t>p</w:t>
      </w:r>
      <w:r w:rsidRPr="00F52594">
        <w:rPr>
          <w:lang w:val="en-US"/>
        </w:rPr>
        <w:t>rocessing</w:t>
      </w:r>
      <w:bookmarkEnd w:id="3"/>
      <w:r w:rsidRPr="00F52594">
        <w:rPr>
          <w:lang w:val="en-US"/>
        </w:rPr>
        <w:t xml:space="preserve"> </w:t>
      </w:r>
    </w:p>
    <w:p w14:paraId="1FAAEF85" w14:textId="77777777" w:rsidR="00C9591F" w:rsidRPr="00F52594" w:rsidRDefault="00C9591F" w:rsidP="00C9591F">
      <w:pPr>
        <w:jc w:val="both"/>
        <w:rPr>
          <w:bCs/>
          <w:sz w:val="24"/>
        </w:rPr>
      </w:pPr>
    </w:p>
    <w:p w14:paraId="7E902131" w14:textId="42CF2428" w:rsidR="00C9591F" w:rsidRPr="00F52594" w:rsidRDefault="00C9591F" w:rsidP="00C9591F">
      <w:pPr>
        <w:jc w:val="both"/>
        <w:rPr>
          <w:bCs/>
          <w:sz w:val="24"/>
        </w:rPr>
      </w:pPr>
      <w:r w:rsidRPr="00F52594">
        <w:rPr>
          <w:bCs/>
          <w:sz w:val="24"/>
        </w:rPr>
        <w:t>The inward processing procedure allows non-Union goods to be temporarily imported into the Union, where processing operations are carried out on them. The processed goods are re-exported from the customs territory of the Union in the form of processed products without being subject to import duties or trade policy measures.</w:t>
      </w:r>
    </w:p>
    <w:p w14:paraId="7A564D35" w14:textId="77777777" w:rsidR="00C9591F" w:rsidRPr="00F52594" w:rsidRDefault="00C9591F" w:rsidP="00C9591F">
      <w:pPr>
        <w:jc w:val="both"/>
        <w:rPr>
          <w:bCs/>
          <w:sz w:val="24"/>
        </w:rPr>
      </w:pPr>
    </w:p>
    <w:p w14:paraId="5BDCE68F" w14:textId="58163AFC" w:rsidR="00C9591F" w:rsidRPr="00F52594" w:rsidRDefault="00EB1686" w:rsidP="00C9591F">
      <w:pPr>
        <w:jc w:val="both"/>
        <w:rPr>
          <w:bCs/>
          <w:sz w:val="24"/>
        </w:rPr>
      </w:pPr>
      <w:r w:rsidRPr="00EB1686">
        <w:rPr>
          <w:bCs/>
          <w:sz w:val="24"/>
        </w:rPr>
        <w:t xml:space="preserve">An </w:t>
      </w:r>
      <w:proofErr w:type="spellStart"/>
      <w:r w:rsidRPr="00EB1686">
        <w:rPr>
          <w:bCs/>
          <w:sz w:val="24"/>
        </w:rPr>
        <w:t>authorisation</w:t>
      </w:r>
      <w:proofErr w:type="spellEnd"/>
      <w:r w:rsidRPr="00EB1686">
        <w:rPr>
          <w:bCs/>
          <w:sz w:val="24"/>
        </w:rPr>
        <w:t xml:space="preserve"> from the customs authorities is required to carry out</w:t>
      </w:r>
      <w:r>
        <w:rPr>
          <w:bCs/>
          <w:sz w:val="24"/>
        </w:rPr>
        <w:t xml:space="preserve"> inward processing </w:t>
      </w:r>
      <w:r w:rsidR="00C9591F" w:rsidRPr="00F52594">
        <w:rPr>
          <w:bCs/>
          <w:sz w:val="24"/>
        </w:rPr>
        <w:t>procedure. The application for authorization is submitted on a prescribed form to the customs authority responsible for the place where the inward processing procedure will take place.</w:t>
      </w:r>
    </w:p>
    <w:p w14:paraId="4485E2FA" w14:textId="77777777" w:rsidR="00C9591F" w:rsidRPr="00F52594" w:rsidRDefault="00C9591F" w:rsidP="00C9591F">
      <w:pPr>
        <w:jc w:val="both"/>
        <w:rPr>
          <w:bCs/>
          <w:sz w:val="24"/>
        </w:rPr>
      </w:pPr>
    </w:p>
    <w:p w14:paraId="5F61614B" w14:textId="2B30CBE4" w:rsidR="00C9591F" w:rsidRPr="00F52594" w:rsidRDefault="00C9591F" w:rsidP="00C9591F">
      <w:pPr>
        <w:jc w:val="both"/>
        <w:rPr>
          <w:bCs/>
          <w:sz w:val="24"/>
        </w:rPr>
      </w:pPr>
      <w:r w:rsidRPr="00F52594">
        <w:rPr>
          <w:bCs/>
          <w:sz w:val="24"/>
        </w:rPr>
        <w:t xml:space="preserve">In simple cases and for the repair of goods, the application can be submitted in a simplified form as a customs declaration in the regular procedure. The declaration is accompanied by a document with additional information on the </w:t>
      </w:r>
      <w:r w:rsidR="00EB1686">
        <w:rPr>
          <w:bCs/>
          <w:sz w:val="24"/>
        </w:rPr>
        <w:t xml:space="preserve">inward </w:t>
      </w:r>
      <w:r w:rsidRPr="00F52594">
        <w:rPr>
          <w:bCs/>
          <w:sz w:val="24"/>
        </w:rPr>
        <w:t>processing.</w:t>
      </w:r>
    </w:p>
    <w:p w14:paraId="35DE573C" w14:textId="77777777" w:rsidR="00C9591F" w:rsidRPr="00F52594" w:rsidRDefault="00C9591F" w:rsidP="00C9591F">
      <w:pPr>
        <w:jc w:val="both"/>
        <w:rPr>
          <w:bCs/>
          <w:sz w:val="24"/>
        </w:rPr>
      </w:pPr>
    </w:p>
    <w:p w14:paraId="4DC3536E" w14:textId="78B66A9E" w:rsidR="00A17048" w:rsidRPr="00F52594" w:rsidRDefault="00C9591F" w:rsidP="00C9591F">
      <w:pPr>
        <w:jc w:val="both"/>
        <w:rPr>
          <w:bCs/>
          <w:sz w:val="24"/>
        </w:rPr>
      </w:pPr>
      <w:r w:rsidRPr="00F52594">
        <w:rPr>
          <w:bCs/>
          <w:sz w:val="24"/>
        </w:rPr>
        <w:t xml:space="preserve">The inward processing procedure is detailed in the Instructions on the </w:t>
      </w:r>
      <w:r w:rsidR="00CF35AC">
        <w:rPr>
          <w:bCs/>
          <w:sz w:val="24"/>
        </w:rPr>
        <w:t>i</w:t>
      </w:r>
      <w:r w:rsidRPr="00F52594">
        <w:rPr>
          <w:bCs/>
          <w:sz w:val="24"/>
        </w:rPr>
        <w:t xml:space="preserve">mplementation of the </w:t>
      </w:r>
      <w:r w:rsidR="00CF35AC">
        <w:rPr>
          <w:bCs/>
          <w:sz w:val="24"/>
        </w:rPr>
        <w:t>i</w:t>
      </w:r>
      <w:r w:rsidRPr="00F52594">
        <w:rPr>
          <w:bCs/>
          <w:sz w:val="24"/>
        </w:rPr>
        <w:t xml:space="preserve">nward </w:t>
      </w:r>
      <w:r w:rsidR="00CF35AC">
        <w:rPr>
          <w:bCs/>
          <w:sz w:val="24"/>
        </w:rPr>
        <w:t>p</w:t>
      </w:r>
      <w:r w:rsidRPr="00F52594">
        <w:rPr>
          <w:bCs/>
          <w:sz w:val="24"/>
        </w:rPr>
        <w:t xml:space="preserve">rocessing </w:t>
      </w:r>
      <w:r w:rsidR="00CF35AC">
        <w:rPr>
          <w:bCs/>
          <w:sz w:val="24"/>
        </w:rPr>
        <w:t>p</w:t>
      </w:r>
      <w:r w:rsidRPr="00F52594">
        <w:rPr>
          <w:bCs/>
          <w:sz w:val="24"/>
        </w:rPr>
        <w:t>rocedure.</w:t>
      </w:r>
    </w:p>
    <w:p w14:paraId="30F8A5DF" w14:textId="77777777" w:rsidR="00C9591F" w:rsidRPr="00F52594" w:rsidRDefault="00C9591F" w:rsidP="00C9591F">
      <w:pPr>
        <w:jc w:val="both"/>
        <w:rPr>
          <w:bCs/>
          <w:sz w:val="24"/>
        </w:rPr>
      </w:pPr>
    </w:p>
    <w:p w14:paraId="10F05F3B" w14:textId="3036E589" w:rsidR="00C9591F" w:rsidRPr="00F52594" w:rsidRDefault="00C9591F" w:rsidP="009D3948">
      <w:pPr>
        <w:pStyle w:val="Naslov1"/>
        <w:numPr>
          <w:ilvl w:val="0"/>
          <w:numId w:val="9"/>
        </w:numPr>
        <w:rPr>
          <w:lang w:val="en-US"/>
        </w:rPr>
      </w:pPr>
      <w:bookmarkStart w:id="4" w:name="_Toc173849625"/>
      <w:r w:rsidRPr="00F52594">
        <w:rPr>
          <w:lang w:val="en-US"/>
        </w:rPr>
        <w:t xml:space="preserve">Customs </w:t>
      </w:r>
      <w:r w:rsidR="00BA5A24">
        <w:rPr>
          <w:lang w:val="en-US"/>
        </w:rPr>
        <w:t>w</w:t>
      </w:r>
      <w:r w:rsidRPr="00F52594">
        <w:rPr>
          <w:lang w:val="en-US"/>
        </w:rPr>
        <w:t xml:space="preserve">arehousing </w:t>
      </w:r>
      <w:r w:rsidR="00BA5A24">
        <w:rPr>
          <w:lang w:val="en-US"/>
        </w:rPr>
        <w:t>procedure</w:t>
      </w:r>
      <w:bookmarkEnd w:id="4"/>
    </w:p>
    <w:p w14:paraId="4A2E205E" w14:textId="77777777" w:rsidR="00C9591F" w:rsidRPr="00F52594" w:rsidRDefault="00C9591F" w:rsidP="00C9591F">
      <w:pPr>
        <w:jc w:val="both"/>
        <w:rPr>
          <w:bCs/>
          <w:sz w:val="24"/>
        </w:rPr>
      </w:pPr>
    </w:p>
    <w:p w14:paraId="25E5A8BB" w14:textId="70821A0C" w:rsidR="00C9591F" w:rsidRPr="00F52594" w:rsidRDefault="00C9591F" w:rsidP="00C9591F">
      <w:pPr>
        <w:jc w:val="both"/>
        <w:rPr>
          <w:bCs/>
          <w:sz w:val="24"/>
        </w:rPr>
      </w:pPr>
      <w:r w:rsidRPr="00F52594">
        <w:rPr>
          <w:bCs/>
          <w:sz w:val="24"/>
        </w:rPr>
        <w:t>The customs warehousing procedure allows the storage of:</w:t>
      </w:r>
    </w:p>
    <w:p w14:paraId="74EE1AEF" w14:textId="77777777" w:rsidR="00C9591F" w:rsidRPr="00F52594" w:rsidRDefault="00C9591F" w:rsidP="00C9591F">
      <w:pPr>
        <w:pStyle w:val="Odstavekseznama"/>
        <w:numPr>
          <w:ilvl w:val="0"/>
          <w:numId w:val="8"/>
        </w:numPr>
        <w:jc w:val="both"/>
        <w:rPr>
          <w:rFonts w:ascii="Arial" w:hAnsi="Arial" w:cs="Arial"/>
          <w:bCs/>
          <w:sz w:val="24"/>
          <w:lang w:val="en-US"/>
        </w:rPr>
      </w:pPr>
      <w:r w:rsidRPr="00F52594">
        <w:rPr>
          <w:rFonts w:ascii="Arial" w:hAnsi="Arial" w:cs="Arial"/>
          <w:bCs/>
          <w:sz w:val="24"/>
          <w:lang w:val="en-US"/>
        </w:rPr>
        <w:t xml:space="preserve">Non-Union goods without being subject to import duties or trade policy </w:t>
      </w:r>
      <w:proofErr w:type="gramStart"/>
      <w:r w:rsidRPr="00F52594">
        <w:rPr>
          <w:rFonts w:ascii="Arial" w:hAnsi="Arial" w:cs="Arial"/>
          <w:bCs/>
          <w:sz w:val="24"/>
          <w:lang w:val="en-US"/>
        </w:rPr>
        <w:t>measures;</w:t>
      </w:r>
      <w:proofErr w:type="gramEnd"/>
    </w:p>
    <w:p w14:paraId="61634F1B" w14:textId="0599B62A" w:rsidR="00C9591F" w:rsidRPr="00F52594" w:rsidRDefault="00C9591F" w:rsidP="00C9591F">
      <w:pPr>
        <w:pStyle w:val="Odstavekseznama"/>
        <w:numPr>
          <w:ilvl w:val="0"/>
          <w:numId w:val="8"/>
        </w:numPr>
        <w:jc w:val="both"/>
        <w:rPr>
          <w:rFonts w:ascii="Arial" w:hAnsi="Arial" w:cs="Arial"/>
          <w:bCs/>
          <w:sz w:val="24"/>
          <w:lang w:val="en-US"/>
        </w:rPr>
      </w:pPr>
      <w:r w:rsidRPr="00F52594">
        <w:rPr>
          <w:rFonts w:ascii="Arial" w:hAnsi="Arial" w:cs="Arial"/>
          <w:bCs/>
          <w:sz w:val="24"/>
          <w:lang w:val="en-US"/>
        </w:rPr>
        <w:lastRenderedPageBreak/>
        <w:t>Union goods when Union legislation governing specific areas provides that the entry of such goods into a customs warehouse is linked to the implementation of measures usually applied to the export of goods.</w:t>
      </w:r>
    </w:p>
    <w:p w14:paraId="39DEA05E" w14:textId="36856405" w:rsidR="00C9591F" w:rsidRPr="00F52594" w:rsidRDefault="00034CCF" w:rsidP="00C9591F">
      <w:pPr>
        <w:jc w:val="both"/>
        <w:rPr>
          <w:bCs/>
          <w:sz w:val="24"/>
        </w:rPr>
      </w:pPr>
      <w:r w:rsidRPr="00034CCF">
        <w:rPr>
          <w:bCs/>
          <w:sz w:val="24"/>
        </w:rPr>
        <w:t xml:space="preserve">Customs authorities’ authorization is required </w:t>
      </w:r>
      <w:r>
        <w:rPr>
          <w:bCs/>
          <w:sz w:val="24"/>
        </w:rPr>
        <w:t>for</w:t>
      </w:r>
      <w:r w:rsidR="00C9591F" w:rsidRPr="00F52594">
        <w:rPr>
          <w:bCs/>
          <w:sz w:val="24"/>
        </w:rPr>
        <w:t xml:space="preserve"> manag</w:t>
      </w:r>
      <w:r>
        <w:rPr>
          <w:bCs/>
          <w:sz w:val="24"/>
        </w:rPr>
        <w:t>ing</w:t>
      </w:r>
      <w:r w:rsidR="00C9591F" w:rsidRPr="00F52594">
        <w:rPr>
          <w:bCs/>
          <w:sz w:val="24"/>
        </w:rPr>
        <w:t xml:space="preserve"> and operat</w:t>
      </w:r>
      <w:r>
        <w:rPr>
          <w:bCs/>
          <w:sz w:val="24"/>
        </w:rPr>
        <w:t>ing</w:t>
      </w:r>
      <w:r w:rsidR="00C9591F" w:rsidRPr="00F52594">
        <w:rPr>
          <w:bCs/>
          <w:sz w:val="24"/>
        </w:rPr>
        <w:t xml:space="preserve"> a customs warehouse. The application for authorization is submitted to the customs authority responsible for the place where the warehouse is located, or in the case of an application for a single authorization, to the customs office responsible for the place where the applicant’s main accounting records are kept. The application is submitted on a prescribed form, which is accompanied by information on record-keeping, storage facilities, the company, the security instrument, etc.</w:t>
      </w:r>
    </w:p>
    <w:p w14:paraId="2CBAFCA8" w14:textId="77777777" w:rsidR="00C9591F" w:rsidRPr="00F52594" w:rsidRDefault="00C9591F" w:rsidP="00C9591F">
      <w:pPr>
        <w:jc w:val="both"/>
        <w:rPr>
          <w:bCs/>
          <w:sz w:val="24"/>
        </w:rPr>
      </w:pPr>
    </w:p>
    <w:p w14:paraId="79BFB69F" w14:textId="17A31758" w:rsidR="00C9591F" w:rsidRPr="00F52594" w:rsidRDefault="00C9591F" w:rsidP="00C9591F">
      <w:pPr>
        <w:jc w:val="both"/>
        <w:rPr>
          <w:bCs/>
          <w:sz w:val="24"/>
        </w:rPr>
      </w:pPr>
      <w:r w:rsidRPr="00F52594">
        <w:rPr>
          <w:bCs/>
          <w:sz w:val="24"/>
        </w:rPr>
        <w:t xml:space="preserve">The customs warehousing procedure is detailed in the Instructions on the </w:t>
      </w:r>
      <w:r w:rsidR="00C40CD5">
        <w:rPr>
          <w:bCs/>
          <w:sz w:val="24"/>
        </w:rPr>
        <w:t>i</w:t>
      </w:r>
      <w:r w:rsidRPr="00F52594">
        <w:rPr>
          <w:bCs/>
          <w:sz w:val="24"/>
        </w:rPr>
        <w:t xml:space="preserve">mplementation of the </w:t>
      </w:r>
      <w:r w:rsidR="00C40CD5">
        <w:rPr>
          <w:bCs/>
          <w:sz w:val="24"/>
        </w:rPr>
        <w:t>c</w:t>
      </w:r>
      <w:r w:rsidRPr="00F52594">
        <w:rPr>
          <w:bCs/>
          <w:sz w:val="24"/>
        </w:rPr>
        <w:t xml:space="preserve">ustoms </w:t>
      </w:r>
      <w:r w:rsidR="00C40CD5">
        <w:rPr>
          <w:bCs/>
          <w:sz w:val="24"/>
        </w:rPr>
        <w:t>w</w:t>
      </w:r>
      <w:r w:rsidRPr="00F52594">
        <w:rPr>
          <w:bCs/>
          <w:sz w:val="24"/>
        </w:rPr>
        <w:t xml:space="preserve">arehousing </w:t>
      </w:r>
      <w:r w:rsidR="00C40CD5">
        <w:rPr>
          <w:bCs/>
          <w:sz w:val="24"/>
        </w:rPr>
        <w:t>p</w:t>
      </w:r>
      <w:r w:rsidRPr="00F52594">
        <w:rPr>
          <w:bCs/>
          <w:sz w:val="24"/>
        </w:rPr>
        <w:t>rocedure.</w:t>
      </w:r>
    </w:p>
    <w:p w14:paraId="1262F9D2" w14:textId="77777777" w:rsidR="00C9591F" w:rsidRPr="00F52594" w:rsidRDefault="00C9591F" w:rsidP="00C9591F">
      <w:pPr>
        <w:jc w:val="both"/>
        <w:rPr>
          <w:bCs/>
          <w:sz w:val="24"/>
        </w:rPr>
      </w:pPr>
    </w:p>
    <w:p w14:paraId="2FCAF880" w14:textId="6B1D3643" w:rsidR="00C9591F" w:rsidRPr="00F52594" w:rsidRDefault="00C9591F" w:rsidP="009D3948">
      <w:pPr>
        <w:pStyle w:val="Naslov1"/>
        <w:numPr>
          <w:ilvl w:val="0"/>
          <w:numId w:val="9"/>
        </w:numPr>
        <w:rPr>
          <w:lang w:val="en-US"/>
        </w:rPr>
      </w:pPr>
      <w:bookmarkStart w:id="5" w:name="_Toc173849626"/>
      <w:r w:rsidRPr="00F52594">
        <w:rPr>
          <w:lang w:val="en-US"/>
        </w:rPr>
        <w:t xml:space="preserve">Temporary </w:t>
      </w:r>
      <w:r w:rsidR="00BA5A24">
        <w:rPr>
          <w:lang w:val="en-US"/>
        </w:rPr>
        <w:t>admission</w:t>
      </w:r>
      <w:bookmarkEnd w:id="5"/>
    </w:p>
    <w:p w14:paraId="1BF49737" w14:textId="77777777" w:rsidR="00C9591F" w:rsidRPr="00F52594" w:rsidRDefault="00C9591F" w:rsidP="00C9591F">
      <w:pPr>
        <w:jc w:val="both"/>
        <w:rPr>
          <w:bCs/>
          <w:sz w:val="24"/>
        </w:rPr>
      </w:pPr>
    </w:p>
    <w:p w14:paraId="20F702C7" w14:textId="11BE2CDF" w:rsidR="00C9591F" w:rsidRPr="00F52594" w:rsidRDefault="00C9591F" w:rsidP="00C9591F">
      <w:pPr>
        <w:jc w:val="both"/>
        <w:rPr>
          <w:bCs/>
          <w:sz w:val="24"/>
        </w:rPr>
      </w:pPr>
      <w:r w:rsidRPr="00F52594">
        <w:rPr>
          <w:bCs/>
          <w:sz w:val="24"/>
        </w:rPr>
        <w:t xml:space="preserve">The temporary </w:t>
      </w:r>
      <w:r w:rsidR="00F038A5">
        <w:rPr>
          <w:bCs/>
          <w:sz w:val="24"/>
        </w:rPr>
        <w:t>admission</w:t>
      </w:r>
      <w:r w:rsidRPr="00F52594">
        <w:rPr>
          <w:bCs/>
          <w:sz w:val="24"/>
        </w:rPr>
        <w:t xml:space="preserve"> allows non-Union goods to be used in the customs territory of the Union with full or partial relief from import duties without being subject to trade policy measures. Temporarily </w:t>
      </w:r>
      <w:r w:rsidR="00F038A5">
        <w:rPr>
          <w:bCs/>
          <w:sz w:val="24"/>
        </w:rPr>
        <w:t>admitted</w:t>
      </w:r>
      <w:r w:rsidRPr="00F52594">
        <w:rPr>
          <w:bCs/>
          <w:sz w:val="24"/>
        </w:rPr>
        <w:t xml:space="preserve"> goods must be re-exported after use in the same condition as they were imported.</w:t>
      </w:r>
    </w:p>
    <w:p w14:paraId="3F325A25" w14:textId="77777777" w:rsidR="00C9591F" w:rsidRPr="00F52594" w:rsidRDefault="00C9591F" w:rsidP="00C9591F">
      <w:pPr>
        <w:jc w:val="both"/>
        <w:rPr>
          <w:bCs/>
          <w:sz w:val="24"/>
        </w:rPr>
      </w:pPr>
    </w:p>
    <w:p w14:paraId="2CB1BC65" w14:textId="08FE037C" w:rsidR="00F038A5" w:rsidRDefault="00F038A5" w:rsidP="00C9591F">
      <w:pPr>
        <w:jc w:val="both"/>
        <w:rPr>
          <w:bCs/>
          <w:sz w:val="24"/>
        </w:rPr>
      </w:pPr>
      <w:r w:rsidRPr="00F038A5">
        <w:rPr>
          <w:bCs/>
          <w:sz w:val="24"/>
        </w:rPr>
        <w:t xml:space="preserve">Goods can be temporarily imported only </w:t>
      </w:r>
      <w:r w:rsidR="007A2134" w:rsidRPr="00F038A5">
        <w:rPr>
          <w:bCs/>
          <w:sz w:val="24"/>
        </w:rPr>
        <w:t>based on</w:t>
      </w:r>
      <w:r w:rsidRPr="00F038A5">
        <w:rPr>
          <w:bCs/>
          <w:sz w:val="24"/>
        </w:rPr>
        <w:t xml:space="preserve"> an authorization granted by the customs authorities</w:t>
      </w:r>
      <w:r w:rsidR="007A2134">
        <w:rPr>
          <w:bCs/>
          <w:sz w:val="24"/>
        </w:rPr>
        <w:t>.</w:t>
      </w:r>
    </w:p>
    <w:p w14:paraId="51C36516" w14:textId="77777777" w:rsidR="00F038A5" w:rsidRDefault="00F038A5" w:rsidP="00C9591F">
      <w:pPr>
        <w:jc w:val="both"/>
        <w:rPr>
          <w:bCs/>
          <w:sz w:val="24"/>
        </w:rPr>
      </w:pPr>
    </w:p>
    <w:p w14:paraId="263AF7B1" w14:textId="6D5569B6" w:rsidR="00F038A5" w:rsidRPr="00F038A5" w:rsidRDefault="00F038A5" w:rsidP="00F038A5">
      <w:pPr>
        <w:jc w:val="both"/>
        <w:rPr>
          <w:bCs/>
          <w:sz w:val="24"/>
        </w:rPr>
      </w:pPr>
      <w:r w:rsidRPr="00F038A5">
        <w:rPr>
          <w:bCs/>
          <w:sz w:val="24"/>
        </w:rPr>
        <w:t xml:space="preserve">The application for the </w:t>
      </w:r>
      <w:r w:rsidR="009606A3" w:rsidRPr="00F038A5">
        <w:rPr>
          <w:bCs/>
          <w:sz w:val="24"/>
        </w:rPr>
        <w:t>authorization</w:t>
      </w:r>
      <w:r w:rsidRPr="00F038A5">
        <w:rPr>
          <w:bCs/>
          <w:sz w:val="24"/>
        </w:rPr>
        <w:t xml:space="preserve"> must be submitted to the customs authorities designated for the place where the goods are used. </w:t>
      </w:r>
      <w:r w:rsidR="000115C5" w:rsidRPr="000115C5">
        <w:rPr>
          <w:bCs/>
          <w:sz w:val="24"/>
        </w:rPr>
        <w:t>An exception is made for temporary admission with an ATA/CPD carnet, where the carnet is generally presented at the customs office of entry into the customs territory of the Union</w:t>
      </w:r>
      <w:r w:rsidR="000115C5">
        <w:rPr>
          <w:bCs/>
          <w:sz w:val="24"/>
        </w:rPr>
        <w:t>.</w:t>
      </w:r>
    </w:p>
    <w:p w14:paraId="3F3D0868" w14:textId="77777777" w:rsidR="00F038A5" w:rsidRPr="00F038A5" w:rsidRDefault="00F038A5" w:rsidP="00F038A5">
      <w:pPr>
        <w:jc w:val="both"/>
        <w:rPr>
          <w:bCs/>
          <w:sz w:val="24"/>
        </w:rPr>
      </w:pPr>
    </w:p>
    <w:p w14:paraId="50985715" w14:textId="470E449F" w:rsidR="00C9591F" w:rsidRDefault="00F038A5" w:rsidP="00F038A5">
      <w:pPr>
        <w:jc w:val="both"/>
        <w:rPr>
          <w:bCs/>
          <w:sz w:val="24"/>
        </w:rPr>
      </w:pPr>
      <w:r w:rsidRPr="00F038A5">
        <w:rPr>
          <w:bCs/>
          <w:sz w:val="24"/>
        </w:rPr>
        <w:t xml:space="preserve">The application must be submitted on a prescribed form. However, in the case of a simplified </w:t>
      </w:r>
      <w:r w:rsidR="009606A3" w:rsidRPr="00F038A5">
        <w:rPr>
          <w:bCs/>
          <w:sz w:val="24"/>
        </w:rPr>
        <w:t>authorization</w:t>
      </w:r>
      <w:r w:rsidRPr="00F038A5">
        <w:rPr>
          <w:bCs/>
          <w:sz w:val="24"/>
        </w:rPr>
        <w:t xml:space="preserve">, the application </w:t>
      </w:r>
      <w:r w:rsidR="007A2134" w:rsidRPr="00F038A5">
        <w:rPr>
          <w:bCs/>
          <w:sz w:val="24"/>
        </w:rPr>
        <w:t>is</w:t>
      </w:r>
      <w:r w:rsidRPr="00F038A5">
        <w:rPr>
          <w:bCs/>
          <w:sz w:val="24"/>
        </w:rPr>
        <w:t xml:space="preserve"> submitted by lodging a</w:t>
      </w:r>
      <w:r w:rsidR="000115C5">
        <w:rPr>
          <w:bCs/>
          <w:sz w:val="24"/>
        </w:rPr>
        <w:t>n electronic</w:t>
      </w:r>
      <w:r w:rsidRPr="00F038A5">
        <w:rPr>
          <w:bCs/>
          <w:sz w:val="24"/>
        </w:rPr>
        <w:t xml:space="preserve"> customs declaration.</w:t>
      </w:r>
    </w:p>
    <w:p w14:paraId="4F22C575" w14:textId="77777777" w:rsidR="000115C5" w:rsidRDefault="000115C5" w:rsidP="00F038A5">
      <w:pPr>
        <w:jc w:val="both"/>
        <w:rPr>
          <w:bCs/>
          <w:sz w:val="24"/>
        </w:rPr>
      </w:pPr>
    </w:p>
    <w:p w14:paraId="3FB550EB" w14:textId="016F4839" w:rsidR="000115C5" w:rsidRPr="00F52594" w:rsidRDefault="000115C5" w:rsidP="00F038A5">
      <w:pPr>
        <w:jc w:val="both"/>
        <w:rPr>
          <w:bCs/>
          <w:sz w:val="24"/>
        </w:rPr>
      </w:pPr>
      <w:r w:rsidRPr="000115C5">
        <w:rPr>
          <w:bCs/>
          <w:sz w:val="24"/>
        </w:rPr>
        <w:t>The procedure for temporary admission is detailed in the Instructions on the implementation of the temporary admission Procedure.</w:t>
      </w:r>
    </w:p>
    <w:sectPr w:rsidR="000115C5" w:rsidRPr="00F52594" w:rsidSect="00783310">
      <w:headerReference w:type="default"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431F" w14:textId="77777777" w:rsidR="00CD24F9" w:rsidRDefault="00CD24F9">
      <w:r>
        <w:separator/>
      </w:r>
    </w:p>
  </w:endnote>
  <w:endnote w:type="continuationSeparator" w:id="0">
    <w:p w14:paraId="11F5FBCA" w14:textId="77777777" w:rsidR="00CD24F9" w:rsidRDefault="00CD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D0A" w14:textId="77777777" w:rsidR="002819A6" w:rsidRDefault="002819A6" w:rsidP="002819A6">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234D4">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D16" w14:textId="77777777" w:rsidR="002819A6" w:rsidRDefault="002819A6" w:rsidP="002819A6">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E7E3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E7E39">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786D" w14:textId="77777777" w:rsidR="00CD24F9" w:rsidRDefault="00CD24F9">
      <w:r>
        <w:separator/>
      </w:r>
    </w:p>
  </w:footnote>
  <w:footnote w:type="continuationSeparator" w:id="0">
    <w:p w14:paraId="09A36C01" w14:textId="77777777" w:rsidR="00CD24F9" w:rsidRDefault="00CD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D09" w14:textId="77777777" w:rsidR="000D3F38" w:rsidRPr="00110CBD" w:rsidRDefault="000D3F3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D3F38" w:rsidRPr="008F3500" w14:paraId="57928D0C" w14:textId="77777777">
      <w:trPr>
        <w:cantSplit/>
        <w:trHeight w:hRule="exact" w:val="847"/>
      </w:trPr>
      <w:tc>
        <w:tcPr>
          <w:tcW w:w="567" w:type="dxa"/>
        </w:tcPr>
        <w:p w14:paraId="57928D0B" w14:textId="77777777" w:rsidR="000D3F38" w:rsidRPr="008F3500" w:rsidRDefault="000D3F3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tc>
    </w:tr>
  </w:tbl>
  <w:p w14:paraId="57928D0D" w14:textId="77777777" w:rsidR="000D3F38" w:rsidRPr="008F3500" w:rsidRDefault="000234D4"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7928D17" wp14:editId="57928D18">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310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D3F38" w:rsidRPr="008F3500">
      <w:rPr>
        <w:rFonts w:ascii="Republika" w:hAnsi="Republika"/>
        <w:lang w:val="sl-SI"/>
      </w:rPr>
      <w:t>REPUBLI</w:t>
    </w:r>
    <w:r w:rsidR="000D3F38">
      <w:rPr>
        <w:rFonts w:ascii="Republika" w:hAnsi="Republika"/>
        <w:lang w:val="sl-SI"/>
      </w:rPr>
      <w:t>C OF SLOVENI</w:t>
    </w:r>
    <w:r w:rsidR="000D3F38" w:rsidRPr="008F3500">
      <w:rPr>
        <w:rFonts w:ascii="Republika" w:hAnsi="Republika"/>
        <w:lang w:val="sl-SI"/>
      </w:rPr>
      <w:t>A</w:t>
    </w:r>
  </w:p>
  <w:p w14:paraId="57928D0E" w14:textId="77777777" w:rsidR="000D3F38" w:rsidRPr="00CA21A5" w:rsidRDefault="00FF5E88" w:rsidP="00924E3C">
    <w:pPr>
      <w:pStyle w:val="Glava"/>
      <w:tabs>
        <w:tab w:val="clear" w:pos="4320"/>
        <w:tab w:val="clear" w:pos="8640"/>
        <w:tab w:val="left" w:pos="5112"/>
      </w:tabs>
      <w:spacing w:after="120" w:line="240" w:lineRule="exact"/>
      <w:rPr>
        <w:rFonts w:ascii="Republika" w:hAnsi="Republika"/>
        <w:b/>
        <w:caps/>
        <w:lang w:val="sl-SI"/>
      </w:rPr>
    </w:pPr>
    <w:r w:rsidRPr="00CA21A5">
      <w:rPr>
        <w:rFonts w:ascii="Republika" w:hAnsi="Republika"/>
        <w:b/>
        <w:caps/>
        <w:lang w:val="sl-SI"/>
      </w:rPr>
      <w:t>Ministry of Finance</w:t>
    </w:r>
  </w:p>
  <w:p w14:paraId="57928D0F" w14:textId="77777777" w:rsidR="00961A8A" w:rsidRDefault="00C7408E" w:rsidP="00961A8A">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FINANCIAL</w:t>
    </w:r>
    <w:r w:rsidR="00FF5E88">
      <w:rPr>
        <w:rFonts w:ascii="Republika" w:hAnsi="Republika"/>
        <w:caps/>
        <w:lang w:val="sl-SI"/>
      </w:rPr>
      <w:t xml:space="preserve"> Administration of the Republic of Slovenia</w:t>
    </w:r>
  </w:p>
  <w:p w14:paraId="57928D10" w14:textId="77777777" w:rsidR="002169BB" w:rsidRPr="00273153" w:rsidRDefault="00B34C76" w:rsidP="002169BB">
    <w:pPr>
      <w:pStyle w:val="Glava"/>
      <w:tabs>
        <w:tab w:val="clear" w:pos="4320"/>
        <w:tab w:val="clear" w:pos="8640"/>
        <w:tab w:val="left" w:pos="5112"/>
      </w:tabs>
      <w:spacing w:before="120" w:line="240" w:lineRule="exact"/>
      <w:rPr>
        <w:rFonts w:ascii="Republika" w:hAnsi="Republika"/>
        <w:caps/>
        <w:lang w:val="it-IT"/>
      </w:rPr>
    </w:pPr>
    <w:r w:rsidRPr="00273153">
      <w:rPr>
        <w:rFonts w:ascii="Republika" w:hAnsi="Republika"/>
        <w:lang w:val="it-IT"/>
      </w:rPr>
      <w:t>General Financial</w:t>
    </w:r>
    <w:r w:rsidR="002169BB" w:rsidRPr="00273153">
      <w:rPr>
        <w:rFonts w:ascii="Republika" w:hAnsi="Republika"/>
        <w:lang w:val="it-IT"/>
      </w:rPr>
      <w:t xml:space="preserve"> </w:t>
    </w:r>
    <w:r w:rsidR="00435890" w:rsidRPr="00273153">
      <w:rPr>
        <w:rFonts w:ascii="Republika" w:hAnsi="Republika"/>
        <w:lang w:val="it-IT"/>
      </w:rPr>
      <w:t>Office</w:t>
    </w:r>
  </w:p>
  <w:p w14:paraId="57928D11" w14:textId="77777777" w:rsidR="002169BB" w:rsidRPr="008F3500" w:rsidRDefault="00435890" w:rsidP="002169BB">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PO </w:t>
    </w:r>
    <w:proofErr w:type="spellStart"/>
    <w:r>
      <w:rPr>
        <w:rFonts w:cs="Arial"/>
        <w:sz w:val="16"/>
        <w:lang w:val="sl-SI"/>
      </w:rPr>
      <w:t>Box</w:t>
    </w:r>
    <w:proofErr w:type="spellEnd"/>
    <w:r w:rsidR="002169BB">
      <w:rPr>
        <w:rFonts w:cs="Arial"/>
        <w:sz w:val="16"/>
        <w:lang w:val="sl-SI"/>
      </w:rPr>
      <w:t xml:space="preserve"> 631</w:t>
    </w:r>
    <w:r w:rsidR="002169BB" w:rsidRPr="008F3500">
      <w:rPr>
        <w:rFonts w:cs="Arial"/>
        <w:sz w:val="16"/>
        <w:lang w:val="sl-SI"/>
      </w:rPr>
      <w:t xml:space="preserve">, </w:t>
    </w:r>
    <w:r>
      <w:rPr>
        <w:rFonts w:cs="Arial"/>
        <w:sz w:val="16"/>
        <w:lang w:val="sl-SI"/>
      </w:rPr>
      <w:t>SI-</w:t>
    </w:r>
    <w:r w:rsidR="002169BB">
      <w:rPr>
        <w:rFonts w:cs="Arial"/>
        <w:sz w:val="16"/>
        <w:lang w:val="sl-SI"/>
      </w:rPr>
      <w:t>1001 Ljubljana</w:t>
    </w:r>
    <w:r>
      <w:rPr>
        <w:rFonts w:cs="Arial"/>
        <w:sz w:val="16"/>
        <w:lang w:val="sl-SI"/>
      </w:rPr>
      <w:t xml:space="preserve">, </w:t>
    </w:r>
    <w:proofErr w:type="spellStart"/>
    <w:r>
      <w:rPr>
        <w:rFonts w:cs="Arial"/>
        <w:sz w:val="16"/>
        <w:lang w:val="sl-SI"/>
      </w:rPr>
      <w:t>Slovenia</w:t>
    </w:r>
    <w:proofErr w:type="spellEnd"/>
    <w:r w:rsidR="002169BB" w:rsidRPr="008F3500">
      <w:rPr>
        <w:rFonts w:cs="Arial"/>
        <w:sz w:val="16"/>
        <w:lang w:val="sl-SI"/>
      </w:rPr>
      <w:tab/>
      <w:t xml:space="preserve">T: </w:t>
    </w:r>
    <w:r w:rsidR="001B42D8" w:rsidRPr="001B42D8">
      <w:rPr>
        <w:rFonts w:cs="Arial"/>
        <w:sz w:val="16"/>
        <w:lang w:val="sl-SI"/>
      </w:rPr>
      <w:t xml:space="preserve">+386 1 478 </w:t>
    </w:r>
    <w:r w:rsidR="001B42D8">
      <w:rPr>
        <w:rFonts w:cs="Arial"/>
        <w:sz w:val="16"/>
        <w:lang w:val="sl-SI"/>
      </w:rPr>
      <w:t>38</w:t>
    </w:r>
    <w:r w:rsidR="001B42D8" w:rsidRPr="001B42D8">
      <w:rPr>
        <w:rFonts w:cs="Arial"/>
        <w:sz w:val="16"/>
        <w:lang w:val="sl-SI"/>
      </w:rPr>
      <w:t xml:space="preserve"> 00</w:t>
    </w:r>
  </w:p>
  <w:p w14:paraId="57928D12" w14:textId="77777777" w:rsidR="002169BB" w:rsidRPr="008F3500" w:rsidRDefault="002169BB"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B42D8" w:rsidRPr="001B42D8">
      <w:rPr>
        <w:rFonts w:cs="Arial"/>
        <w:sz w:val="16"/>
        <w:lang w:val="sl-SI"/>
      </w:rPr>
      <w:t xml:space="preserve">+386 1 478 </w:t>
    </w:r>
    <w:r w:rsidR="001B42D8">
      <w:rPr>
        <w:rFonts w:cs="Arial"/>
        <w:sz w:val="16"/>
        <w:lang w:val="sl-SI"/>
      </w:rPr>
      <w:t>39</w:t>
    </w:r>
    <w:r w:rsidR="001B42D8" w:rsidRPr="001B42D8">
      <w:rPr>
        <w:rFonts w:cs="Arial"/>
        <w:sz w:val="16"/>
        <w:lang w:val="sl-SI"/>
      </w:rPr>
      <w:t xml:space="preserve"> 00</w:t>
    </w:r>
  </w:p>
  <w:p w14:paraId="57928D13" w14:textId="77777777" w:rsidR="002169BB" w:rsidRPr="008F3500" w:rsidRDefault="002169BB"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B42D8">
      <w:rPr>
        <w:rFonts w:cs="Arial"/>
        <w:sz w:val="16"/>
        <w:lang w:val="sl-SI"/>
      </w:rPr>
      <w:t>gfu.fu</w:t>
    </w:r>
    <w:r>
      <w:rPr>
        <w:rFonts w:cs="Arial"/>
        <w:sz w:val="16"/>
        <w:lang w:val="sl-SI"/>
      </w:rPr>
      <w:t>@gov.si</w:t>
    </w:r>
  </w:p>
  <w:p w14:paraId="57928D14" w14:textId="77777777" w:rsidR="002169BB" w:rsidRPr="008F3500" w:rsidRDefault="002169BB"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B42D8">
      <w:rPr>
        <w:rFonts w:cs="Arial"/>
        <w:sz w:val="16"/>
        <w:lang w:val="sl-SI"/>
      </w:rPr>
      <w:t>www.fu</w:t>
    </w:r>
    <w:r>
      <w:rPr>
        <w:rFonts w:cs="Arial"/>
        <w:sz w:val="16"/>
        <w:lang w:val="sl-SI"/>
      </w:rPr>
      <w:t>.gov.si</w:t>
    </w:r>
  </w:p>
  <w:p w14:paraId="57928D15" w14:textId="77777777" w:rsidR="000D3F38" w:rsidRPr="008F3500" w:rsidRDefault="000D3F38" w:rsidP="002169BB">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601708C"/>
    <w:multiLevelType w:val="hybridMultilevel"/>
    <w:tmpl w:val="AC70CE0E"/>
    <w:lvl w:ilvl="0" w:tplc="2C3423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6DA02A5"/>
    <w:multiLevelType w:val="hybridMultilevel"/>
    <w:tmpl w:val="23CCBF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58B1B24"/>
    <w:multiLevelType w:val="hybridMultilevel"/>
    <w:tmpl w:val="CEA4E28C"/>
    <w:lvl w:ilvl="0" w:tplc="C6786A7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614C9C"/>
    <w:multiLevelType w:val="multilevel"/>
    <w:tmpl w:val="24D0ABD0"/>
    <w:lvl w:ilvl="0">
      <w:start w:val="1"/>
      <w:numFmt w:val="decimal"/>
      <w:lvlText w:val="%1"/>
      <w:lvlJc w:val="left"/>
      <w:pPr>
        <w:ind w:left="405" w:hanging="405"/>
      </w:pPr>
      <w:rPr>
        <w:rFonts w:ascii="Arial" w:hAnsi="Arial" w:cs="Arial"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95221316">
    <w:abstractNumId w:val="4"/>
  </w:num>
  <w:num w:numId="2" w16cid:durableId="669721868">
    <w:abstractNumId w:val="2"/>
  </w:num>
  <w:num w:numId="3" w16cid:durableId="2134252850">
    <w:abstractNumId w:val="3"/>
  </w:num>
  <w:num w:numId="4" w16cid:durableId="86582060">
    <w:abstractNumId w:val="0"/>
  </w:num>
  <w:num w:numId="5" w16cid:durableId="187331933">
    <w:abstractNumId w:val="1"/>
  </w:num>
  <w:num w:numId="6" w16cid:durableId="731076305">
    <w:abstractNumId w:val="7"/>
  </w:num>
  <w:num w:numId="7" w16cid:durableId="1407336304">
    <w:abstractNumId w:val="8"/>
  </w:num>
  <w:num w:numId="8" w16cid:durableId="180320504">
    <w:abstractNumId w:val="5"/>
  </w:num>
  <w:num w:numId="9" w16cid:durableId="64647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4D4"/>
    <w:rsid w:val="000115C5"/>
    <w:rsid w:val="00020B3F"/>
    <w:rsid w:val="000234D4"/>
    <w:rsid w:val="00023A88"/>
    <w:rsid w:val="00034CCF"/>
    <w:rsid w:val="00052424"/>
    <w:rsid w:val="000A7238"/>
    <w:rsid w:val="000D3F38"/>
    <w:rsid w:val="000E2D1E"/>
    <w:rsid w:val="001022BE"/>
    <w:rsid w:val="001357B2"/>
    <w:rsid w:val="001659C2"/>
    <w:rsid w:val="00166ACE"/>
    <w:rsid w:val="001840EE"/>
    <w:rsid w:val="00187141"/>
    <w:rsid w:val="001B42D8"/>
    <w:rsid w:val="001E510D"/>
    <w:rsid w:val="00202A77"/>
    <w:rsid w:val="002169BB"/>
    <w:rsid w:val="00271CE5"/>
    <w:rsid w:val="00273153"/>
    <w:rsid w:val="002819A6"/>
    <w:rsid w:val="00282020"/>
    <w:rsid w:val="002B7196"/>
    <w:rsid w:val="002E6895"/>
    <w:rsid w:val="00314CEF"/>
    <w:rsid w:val="003636BF"/>
    <w:rsid w:val="003845B4"/>
    <w:rsid w:val="00387B1A"/>
    <w:rsid w:val="003A7960"/>
    <w:rsid w:val="003D78AE"/>
    <w:rsid w:val="003E1C74"/>
    <w:rsid w:val="003E20FB"/>
    <w:rsid w:val="00435890"/>
    <w:rsid w:val="00497C8B"/>
    <w:rsid w:val="004E7D72"/>
    <w:rsid w:val="00526246"/>
    <w:rsid w:val="00567106"/>
    <w:rsid w:val="00572122"/>
    <w:rsid w:val="005760AD"/>
    <w:rsid w:val="005E1D3C"/>
    <w:rsid w:val="00632253"/>
    <w:rsid w:val="00634DD0"/>
    <w:rsid w:val="00642714"/>
    <w:rsid w:val="006455CE"/>
    <w:rsid w:val="006623F1"/>
    <w:rsid w:val="00733017"/>
    <w:rsid w:val="00747C0D"/>
    <w:rsid w:val="00760FDD"/>
    <w:rsid w:val="00783310"/>
    <w:rsid w:val="007A2134"/>
    <w:rsid w:val="007A4A6D"/>
    <w:rsid w:val="007B66F8"/>
    <w:rsid w:val="007D1BCF"/>
    <w:rsid w:val="007D6AE6"/>
    <w:rsid w:val="007D75CF"/>
    <w:rsid w:val="007E47FF"/>
    <w:rsid w:val="007E4EA5"/>
    <w:rsid w:val="007E6DC5"/>
    <w:rsid w:val="00824004"/>
    <w:rsid w:val="00852EA7"/>
    <w:rsid w:val="0088043C"/>
    <w:rsid w:val="008810E1"/>
    <w:rsid w:val="008906C9"/>
    <w:rsid w:val="008C1493"/>
    <w:rsid w:val="008C2430"/>
    <w:rsid w:val="008C5738"/>
    <w:rsid w:val="008D04F0"/>
    <w:rsid w:val="008F3500"/>
    <w:rsid w:val="00924E3C"/>
    <w:rsid w:val="00940D51"/>
    <w:rsid w:val="009606A3"/>
    <w:rsid w:val="009612BB"/>
    <w:rsid w:val="00961A8A"/>
    <w:rsid w:val="009D3948"/>
    <w:rsid w:val="009E093E"/>
    <w:rsid w:val="00A125C5"/>
    <w:rsid w:val="00A17048"/>
    <w:rsid w:val="00A5039D"/>
    <w:rsid w:val="00A65EE7"/>
    <w:rsid w:val="00A70133"/>
    <w:rsid w:val="00A77304"/>
    <w:rsid w:val="00B17141"/>
    <w:rsid w:val="00B31575"/>
    <w:rsid w:val="00B34C76"/>
    <w:rsid w:val="00B43158"/>
    <w:rsid w:val="00B561D8"/>
    <w:rsid w:val="00B8547D"/>
    <w:rsid w:val="00BA5A24"/>
    <w:rsid w:val="00C250D5"/>
    <w:rsid w:val="00C34CA3"/>
    <w:rsid w:val="00C40CD5"/>
    <w:rsid w:val="00C7408E"/>
    <w:rsid w:val="00C92898"/>
    <w:rsid w:val="00C9591F"/>
    <w:rsid w:val="00CA21A5"/>
    <w:rsid w:val="00CC353C"/>
    <w:rsid w:val="00CD24F9"/>
    <w:rsid w:val="00CE7514"/>
    <w:rsid w:val="00CF20E8"/>
    <w:rsid w:val="00CF35AC"/>
    <w:rsid w:val="00D248DE"/>
    <w:rsid w:val="00D42820"/>
    <w:rsid w:val="00D65664"/>
    <w:rsid w:val="00D8542D"/>
    <w:rsid w:val="00DC6A71"/>
    <w:rsid w:val="00DE48AE"/>
    <w:rsid w:val="00DE5B46"/>
    <w:rsid w:val="00E0357D"/>
    <w:rsid w:val="00E303B1"/>
    <w:rsid w:val="00E4337B"/>
    <w:rsid w:val="00E54428"/>
    <w:rsid w:val="00E8415E"/>
    <w:rsid w:val="00EA71C3"/>
    <w:rsid w:val="00EB1686"/>
    <w:rsid w:val="00EC1391"/>
    <w:rsid w:val="00F038A5"/>
    <w:rsid w:val="00F12B03"/>
    <w:rsid w:val="00F240BB"/>
    <w:rsid w:val="00F2548F"/>
    <w:rsid w:val="00F52594"/>
    <w:rsid w:val="00F57FED"/>
    <w:rsid w:val="00FC0BEE"/>
    <w:rsid w:val="00FD2219"/>
    <w:rsid w:val="00FE7E39"/>
    <w:rsid w:val="00FF5E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7928CE8"/>
  <w15:docId w15:val="{C5507A6E-2068-4CFD-B989-DD85ED24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73153"/>
    <w:pPr>
      <w:spacing w:after="160" w:line="259" w:lineRule="auto"/>
      <w:ind w:left="720"/>
      <w:contextualSpacing/>
    </w:pPr>
    <w:rPr>
      <w:rFonts w:asciiTheme="minorHAnsi" w:eastAsiaTheme="minorHAnsi" w:hAnsiTheme="minorHAnsi" w:cstheme="minorBidi"/>
      <w:kern w:val="2"/>
      <w:sz w:val="22"/>
      <w:szCs w:val="22"/>
      <w:lang w:val="sl-SI"/>
      <w14:ligatures w14:val="standardContextual"/>
    </w:rPr>
  </w:style>
  <w:style w:type="character" w:styleId="Besedilooznabemesta">
    <w:name w:val="Placeholder Text"/>
    <w:basedOn w:val="Privzetapisavaodstavka"/>
    <w:uiPriority w:val="99"/>
    <w:semiHidden/>
    <w:rsid w:val="00273153"/>
    <w:rPr>
      <w:color w:val="808080"/>
    </w:rPr>
  </w:style>
  <w:style w:type="paragraph" w:styleId="NaslovTOC">
    <w:name w:val="TOC Heading"/>
    <w:basedOn w:val="Naslov1"/>
    <w:next w:val="Navaden"/>
    <w:uiPriority w:val="39"/>
    <w:unhideWhenUsed/>
    <w:qFormat/>
    <w:rsid w:val="00187141"/>
    <w:pPr>
      <w:keepLines/>
      <w:spacing w:after="0" w:line="259" w:lineRule="auto"/>
      <w:outlineLvl w:val="9"/>
    </w:pPr>
    <w:rPr>
      <w:rFonts w:asciiTheme="majorHAnsi" w:eastAsiaTheme="majorEastAsia" w:hAnsiTheme="majorHAnsi" w:cstheme="majorBidi"/>
      <w:b w:val="0"/>
      <w:color w:val="365F91" w:themeColor="accent1" w:themeShade="BF"/>
      <w:kern w:val="0"/>
      <w:sz w:val="32"/>
    </w:rPr>
  </w:style>
  <w:style w:type="paragraph" w:styleId="Kazalovsebine1">
    <w:name w:val="toc 1"/>
    <w:basedOn w:val="Navaden"/>
    <w:next w:val="Navaden"/>
    <w:autoRedefine/>
    <w:uiPriority w:val="39"/>
    <w:rsid w:val="00187141"/>
    <w:pPr>
      <w:spacing w:after="100"/>
    </w:pPr>
  </w:style>
  <w:style w:type="character" w:styleId="Nerazreenaomemba">
    <w:name w:val="Unresolved Mention"/>
    <w:basedOn w:val="Privzetapisavaodstavka"/>
    <w:uiPriority w:val="99"/>
    <w:semiHidden/>
    <w:unhideWhenUsed/>
    <w:rsid w:val="00A7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ALL/?uri=CELEX:32009R118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isrs.si/pregledPredpisa?id=PRAV1487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taxation_customs/v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taxation_customs/dds2/eos/eori_validation.jsp?Screen=0&amp;EoriNumb=&amp;Expand=false&amp;Lang=en&amp;parentfolder=.%2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axation-customs.ec.europa.eu/customs-4/customs-procedures-import-and-export-0/what-importation_en"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3CB1A98A986741AE2D7BFC796FF7FF" ma:contentTypeVersion="3" ma:contentTypeDescription="Ustvari nov dokument." ma:contentTypeScope="" ma:versionID="6476c3b0d0c5cd4b161a28f1d1dfa305">
  <xsd:schema xmlns:xsd="http://www.w3.org/2001/XMLSchema" xmlns:xs="http://www.w3.org/2001/XMLSchema" xmlns:p="http://schemas.microsoft.com/office/2006/metadata/properties" xmlns:ns2="f6616d4a-3781-4adc-a06c-60c453a00097" xmlns:ns3="26193fc4-38e1-40f3-8403-efc2519196bb" targetNamespace="http://schemas.microsoft.com/office/2006/metadata/properties" ma:root="true" ma:fieldsID="9c4182915a66f7d0230e3e5cc9123988" ns2:_="" ns3:_="">
    <xsd:import namespace="f6616d4a-3781-4adc-a06c-60c453a00097"/>
    <xsd:import namespace="26193fc4-38e1-40f3-8403-efc2519196bb"/>
    <xsd:element name="properties">
      <xsd:complexType>
        <xsd:sequence>
          <xsd:element name="documentManagement">
            <xsd:complexType>
              <xsd:all>
                <xsd:element ref="ns2:Urad" minOccurs="0"/>
                <xsd:element ref="ns2:D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16d4a-3781-4adc-a06c-60c453a00097" elementFormDefault="qualified">
    <xsd:import namespace="http://schemas.microsoft.com/office/2006/documentManagement/types"/>
    <xsd:import namespace="http://schemas.microsoft.com/office/infopath/2007/PartnerControls"/>
    <xsd:element name="Urad" ma:index="4" nillable="true" ma:displayName="Urad" ma:internalName="Urad" ma:readOnly="false">
      <xsd:simpleType>
        <xsd:restriction base="dms:Text">
          <xsd:maxLength value="255"/>
        </xsd:restriction>
      </xsd:simpleType>
    </xsd:element>
    <xsd:element name="DT" ma:index="5" nillable="true" ma:displayName="DT" ma:default="1" ma:internalName="D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193fc4-38e1-40f3-8403-efc2519196bb" elementFormDefault="qualified">
    <xsd:import namespace="http://schemas.microsoft.com/office/2006/documentManagement/types"/>
    <xsd:import namespace="http://schemas.microsoft.com/office/infopath/2007/PartnerControls"/>
    <xsd:element name="_dlc_DocId" ma:index="10" nillable="true" ma:displayName="Vrednost ID-ja dokumenta" ma:description="Vrednost ID-ja dokumenta, dodeljenega temu elementu." ma:internalName="_dlc_DocId" ma:readOnly="true">
      <xsd:simpleType>
        <xsd:restriction base="dms:Text"/>
      </xsd:simpleType>
    </xsd:element>
    <xsd:element name="_dlc_DocIdUrl" ma:index="11"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ad xmlns="f6616d4a-3781-4adc-a06c-60c453a00097">GFU</Urad>
    <DT xmlns="f6616d4a-3781-4adc-a06c-60c453a00097" xsi:nil="true"/>
    <_dlc_DocId xmlns="26193fc4-38e1-40f3-8403-efc2519196bb">47T7AYJDZKZ5-469220573-10</_dlc_DocId>
    <_dlc_DocIdUrl xmlns="26193fc4-38e1-40f3-8403-efc2519196bb">
      <Url>https://intra.ad.sigov.si/sites/005-maks-projekti/EDS/_layouts/15/DocIdRedir.aspx?ID=47T7AYJDZKZ5-469220573-10</Url>
      <Description>47T7AYJDZKZ5-469220573-10</Description>
    </_dlc_DocIdUrl>
  </documentManagement>
</p:properties>
</file>

<file path=customXml/itemProps1.xml><?xml version="1.0" encoding="utf-8"?>
<ds:datastoreItem xmlns:ds="http://schemas.openxmlformats.org/officeDocument/2006/customXml" ds:itemID="{32D45185-1DF4-4D73-95EE-7711CCC45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16d4a-3781-4adc-a06c-60c453a00097"/>
    <ds:schemaRef ds:uri="26193fc4-38e1-40f3-8403-efc251919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22145-D585-4E3B-B590-808E837F9798}">
  <ds:schemaRefs>
    <ds:schemaRef ds:uri="http://schemas.microsoft.com/sharepoint/events"/>
  </ds:schemaRefs>
</ds:datastoreItem>
</file>

<file path=customXml/itemProps3.xml><?xml version="1.0" encoding="utf-8"?>
<ds:datastoreItem xmlns:ds="http://schemas.openxmlformats.org/officeDocument/2006/customXml" ds:itemID="{C49F8092-025F-450E-8D0E-9BA7E49B4F91}">
  <ds:schemaRefs>
    <ds:schemaRef ds:uri="http://schemas.microsoft.com/sharepoint/v3/contenttype/forms"/>
  </ds:schemaRefs>
</ds:datastoreItem>
</file>

<file path=customXml/itemProps4.xml><?xml version="1.0" encoding="utf-8"?>
<ds:datastoreItem xmlns:ds="http://schemas.openxmlformats.org/officeDocument/2006/customXml" ds:itemID="{CD40076D-60DC-4AE7-B46F-A1E752999593}">
  <ds:schemaRefs>
    <ds:schemaRef ds:uri="http://schemas.openxmlformats.org/officeDocument/2006/bibliography"/>
  </ds:schemaRefs>
</ds:datastoreItem>
</file>

<file path=customXml/itemProps5.xml><?xml version="1.0" encoding="utf-8"?>
<ds:datastoreItem xmlns:ds="http://schemas.openxmlformats.org/officeDocument/2006/customXml" ds:itemID="{81FD5FD6-89E7-43D7-928A-BBFDCE35913E}">
  <ds:schemaRefs>
    <ds:schemaRef ds:uri="http://schemas.microsoft.com/office/2006/metadata/properties"/>
    <ds:schemaRef ds:uri="http://schemas.microsoft.com/office/infopath/2007/PartnerControls"/>
    <ds:schemaRef ds:uri="f6616d4a-3781-4adc-a06c-60c453a00097"/>
    <ds:schemaRef ds:uri="26193fc4-38e1-40f3-8403-efc2519196bb"/>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1511</Words>
  <Characters>8613</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Number:</vt:lpstr>
      <vt:lpstr>Number: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creator>Tomaž Lavrič</dc:creator>
  <cp:lastModifiedBy>Anja Ivančič</cp:lastModifiedBy>
  <cp:revision>31</cp:revision>
  <cp:lastPrinted>2011-01-20T09:46:00Z</cp:lastPrinted>
  <dcterms:created xsi:type="dcterms:W3CDTF">2024-07-29T08:12:00Z</dcterms:created>
  <dcterms:modified xsi:type="dcterms:W3CDTF">2024-08-06T13:13:00Z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0x0101003D3CB1A98A986741AE2D7BFC796FF7FF</vt:lpwstr>
  </property>
  <property fmtid="{D5CDD505-2E9C-101B-9397-08002B2CF9AE}" pid="3" name="Order">
    <vt:r8>12800</vt:r8>
  </property>
  <property fmtid="{D5CDD505-2E9C-101B-9397-08002B2CF9AE}" pid="4" name="_dlc_DocIdItemGuid">
    <vt:lpwstr>880f93a7-1e9f-46eb-93f5-7867b80748a8</vt:lpwstr>
  </property>
</Properties>
</file>