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7A14" w14:textId="77777777" w:rsidR="007D75CF" w:rsidRPr="00F52594" w:rsidRDefault="007D75CF" w:rsidP="00CA21A5"/>
    <w:p w14:paraId="409B1D05" w14:textId="77777777" w:rsidR="00273153" w:rsidRPr="00F52594" w:rsidRDefault="00273153" w:rsidP="00CA21A5"/>
    <w:p w14:paraId="19B514CC" w14:textId="77777777" w:rsidR="00273153" w:rsidRPr="00F52594" w:rsidRDefault="00273153" w:rsidP="00CA21A5"/>
    <w:p w14:paraId="52EB90A1" w14:textId="77777777" w:rsidR="00273153" w:rsidRPr="00F52594" w:rsidRDefault="00273153" w:rsidP="00CA21A5"/>
    <w:p w14:paraId="32184502" w14:textId="77777777" w:rsidR="00273153" w:rsidRPr="00F52594" w:rsidRDefault="00273153" w:rsidP="00CA21A5"/>
    <w:p w14:paraId="681C335E" w14:textId="77777777" w:rsidR="00273153" w:rsidRPr="00F52594" w:rsidRDefault="00273153" w:rsidP="00CA21A5"/>
    <w:p w14:paraId="1CEB8E98" w14:textId="77777777" w:rsidR="00273153" w:rsidRPr="00F52594" w:rsidRDefault="00273153" w:rsidP="00CA21A5"/>
    <w:p w14:paraId="13CA10D9" w14:textId="77777777" w:rsidR="00273153" w:rsidRPr="00F52594" w:rsidRDefault="00273153" w:rsidP="00CA21A5"/>
    <w:p w14:paraId="49F50E14" w14:textId="77777777" w:rsidR="00273153" w:rsidRPr="00F52594" w:rsidRDefault="00273153" w:rsidP="00CA21A5"/>
    <w:p w14:paraId="5929E669" w14:textId="77777777" w:rsidR="00273153" w:rsidRPr="00F52594" w:rsidRDefault="00273153" w:rsidP="00CA21A5"/>
    <w:p w14:paraId="37793F7C" w14:textId="77777777" w:rsidR="00273153" w:rsidRPr="00F52594" w:rsidRDefault="00273153" w:rsidP="00CA21A5"/>
    <w:p w14:paraId="41853CC2" w14:textId="77777777" w:rsidR="00273153" w:rsidRDefault="005F0A8A" w:rsidP="00273153">
      <w:pPr>
        <w:jc w:val="center"/>
        <w:rPr>
          <w:b/>
          <w:bCs/>
          <w:sz w:val="52"/>
          <w:szCs w:val="52"/>
        </w:rPr>
      </w:pPr>
      <w:r w:rsidRPr="005F0A8A">
        <w:rPr>
          <w:b/>
          <w:bCs/>
          <w:sz w:val="52"/>
          <w:szCs w:val="52"/>
        </w:rPr>
        <w:t>E N T R Y   S U M M A</w:t>
      </w:r>
      <w:r>
        <w:rPr>
          <w:b/>
          <w:bCs/>
          <w:sz w:val="52"/>
          <w:szCs w:val="52"/>
        </w:rPr>
        <w:t xml:space="preserve"> R Y</w:t>
      </w:r>
    </w:p>
    <w:p w14:paraId="2F78A79C" w14:textId="77777777" w:rsidR="005F0A8A" w:rsidRPr="005F0A8A" w:rsidRDefault="005F0A8A" w:rsidP="00273153">
      <w:pPr>
        <w:jc w:val="center"/>
        <w:rPr>
          <w:b/>
          <w:bCs/>
          <w:sz w:val="52"/>
          <w:szCs w:val="52"/>
          <w:lang w:val="it-IT"/>
        </w:rPr>
      </w:pPr>
      <w:r w:rsidRPr="005F0A8A">
        <w:rPr>
          <w:b/>
          <w:bCs/>
          <w:sz w:val="52"/>
          <w:szCs w:val="52"/>
          <w:lang w:val="it-IT"/>
        </w:rPr>
        <w:t>D E C L A R A T I O</w:t>
      </w:r>
      <w:r>
        <w:rPr>
          <w:b/>
          <w:bCs/>
          <w:sz w:val="52"/>
          <w:szCs w:val="52"/>
          <w:lang w:val="it-IT"/>
        </w:rPr>
        <w:t xml:space="preserve"> N</w:t>
      </w:r>
    </w:p>
    <w:p w14:paraId="42C2C9F0" w14:textId="77777777" w:rsidR="00273153" w:rsidRPr="005F0A8A" w:rsidRDefault="00273153" w:rsidP="00273153">
      <w:pPr>
        <w:jc w:val="center"/>
        <w:rPr>
          <w:b/>
          <w:bCs/>
          <w:sz w:val="48"/>
          <w:szCs w:val="48"/>
          <w:lang w:val="it-IT"/>
        </w:rPr>
      </w:pPr>
    </w:p>
    <w:p w14:paraId="45C9D3DB" w14:textId="77777777" w:rsidR="00273153" w:rsidRPr="005F0A8A" w:rsidRDefault="00273153" w:rsidP="00273153">
      <w:pPr>
        <w:jc w:val="center"/>
        <w:rPr>
          <w:b/>
          <w:bCs/>
          <w:sz w:val="48"/>
          <w:szCs w:val="48"/>
          <w:lang w:val="it-IT"/>
        </w:rPr>
      </w:pPr>
    </w:p>
    <w:p w14:paraId="6AD13FF7" w14:textId="77777777" w:rsidR="00273153" w:rsidRPr="00F52594" w:rsidRDefault="00273153" w:rsidP="00273153">
      <w:pPr>
        <w:jc w:val="center"/>
        <w:rPr>
          <w:b/>
          <w:bCs/>
          <w:sz w:val="36"/>
          <w:szCs w:val="36"/>
        </w:rPr>
      </w:pPr>
      <w:r w:rsidRPr="00F52594">
        <w:rPr>
          <w:b/>
          <w:bCs/>
          <w:sz w:val="36"/>
          <w:szCs w:val="36"/>
        </w:rPr>
        <w:t xml:space="preserve">A detailed description </w:t>
      </w:r>
    </w:p>
    <w:p w14:paraId="788FC48A" w14:textId="77777777" w:rsidR="00273153" w:rsidRPr="00F52594" w:rsidRDefault="00273153" w:rsidP="00273153">
      <w:pPr>
        <w:jc w:val="center"/>
        <w:rPr>
          <w:b/>
          <w:bCs/>
          <w:sz w:val="48"/>
          <w:szCs w:val="48"/>
        </w:rPr>
      </w:pPr>
    </w:p>
    <w:p w14:paraId="3E73CBDB" w14:textId="77777777" w:rsidR="00273153" w:rsidRPr="00F52594" w:rsidRDefault="00273153" w:rsidP="00273153">
      <w:pPr>
        <w:jc w:val="center"/>
        <w:rPr>
          <w:b/>
          <w:bCs/>
          <w:sz w:val="48"/>
          <w:szCs w:val="48"/>
        </w:rPr>
      </w:pPr>
    </w:p>
    <w:p w14:paraId="7B6075C9" w14:textId="77777777" w:rsidR="00273153" w:rsidRPr="00F52594" w:rsidRDefault="00273153" w:rsidP="00273153">
      <w:pPr>
        <w:rPr>
          <w:b/>
          <w:bCs/>
          <w:sz w:val="48"/>
          <w:szCs w:val="48"/>
        </w:rPr>
      </w:pPr>
    </w:p>
    <w:p w14:paraId="3E938912" w14:textId="77777777" w:rsidR="00273153" w:rsidRPr="00F52594" w:rsidRDefault="00273153" w:rsidP="00273153">
      <w:pPr>
        <w:jc w:val="center"/>
        <w:rPr>
          <w:b/>
          <w:bCs/>
          <w:sz w:val="48"/>
          <w:szCs w:val="48"/>
        </w:rPr>
      </w:pPr>
    </w:p>
    <w:p w14:paraId="3CFE447E" w14:textId="77777777" w:rsidR="00273153" w:rsidRDefault="00273153" w:rsidP="00273153">
      <w:pPr>
        <w:jc w:val="center"/>
        <w:rPr>
          <w:b/>
          <w:bCs/>
          <w:sz w:val="48"/>
          <w:szCs w:val="48"/>
        </w:rPr>
      </w:pPr>
    </w:p>
    <w:p w14:paraId="01965E29" w14:textId="77777777" w:rsidR="005F0A8A" w:rsidRPr="00F52594" w:rsidRDefault="005F0A8A" w:rsidP="00273153">
      <w:pPr>
        <w:jc w:val="center"/>
        <w:rPr>
          <w:b/>
          <w:bCs/>
          <w:sz w:val="48"/>
          <w:szCs w:val="48"/>
        </w:rPr>
      </w:pPr>
    </w:p>
    <w:p w14:paraId="00A6E9D8" w14:textId="77777777" w:rsidR="00273153" w:rsidRPr="00F52594" w:rsidRDefault="00273153" w:rsidP="00273153">
      <w:pPr>
        <w:jc w:val="center"/>
        <w:rPr>
          <w:b/>
          <w:bCs/>
          <w:sz w:val="48"/>
          <w:szCs w:val="48"/>
        </w:rPr>
      </w:pPr>
    </w:p>
    <w:p w14:paraId="1E65B79F" w14:textId="77777777" w:rsidR="00273153" w:rsidRPr="00F52594" w:rsidRDefault="00273153" w:rsidP="00273153">
      <w:pPr>
        <w:jc w:val="center"/>
        <w:rPr>
          <w:b/>
          <w:bCs/>
          <w:sz w:val="48"/>
          <w:szCs w:val="48"/>
        </w:rPr>
      </w:pPr>
    </w:p>
    <w:p w14:paraId="3F421DEC" w14:textId="77777777" w:rsidR="00273153" w:rsidRPr="00F52594" w:rsidRDefault="00273153" w:rsidP="00273153">
      <w:pPr>
        <w:jc w:val="center"/>
        <w:rPr>
          <w:b/>
          <w:bCs/>
          <w:sz w:val="48"/>
          <w:szCs w:val="48"/>
        </w:rPr>
      </w:pPr>
    </w:p>
    <w:p w14:paraId="6682B90B" w14:textId="77777777" w:rsidR="00273153" w:rsidRPr="00F52594" w:rsidRDefault="00273153" w:rsidP="00273153">
      <w:pPr>
        <w:rPr>
          <w:b/>
          <w:bCs/>
          <w:sz w:val="48"/>
          <w:szCs w:val="48"/>
        </w:rPr>
      </w:pPr>
    </w:p>
    <w:p w14:paraId="4001B61C" w14:textId="77777777" w:rsidR="00273153" w:rsidRPr="00F52594" w:rsidRDefault="00273153" w:rsidP="00273153">
      <w:pPr>
        <w:jc w:val="center"/>
        <w:rPr>
          <w:b/>
          <w:bCs/>
          <w:sz w:val="28"/>
          <w:szCs w:val="28"/>
        </w:rPr>
      </w:pPr>
      <w:r w:rsidRPr="00F52594">
        <w:rPr>
          <w:b/>
          <w:bCs/>
          <w:sz w:val="32"/>
          <w:szCs w:val="32"/>
        </w:rPr>
        <w:t>2</w:t>
      </w:r>
      <w:r w:rsidRPr="00F52594">
        <w:rPr>
          <w:b/>
          <w:bCs/>
          <w:sz w:val="28"/>
          <w:szCs w:val="28"/>
          <w:vertAlign w:val="superscript"/>
        </w:rPr>
        <w:t xml:space="preserve">nd </w:t>
      </w:r>
      <w:r w:rsidRPr="00F52594">
        <w:rPr>
          <w:b/>
          <w:bCs/>
          <w:sz w:val="28"/>
          <w:szCs w:val="28"/>
        </w:rPr>
        <w:t xml:space="preserve">version </w:t>
      </w:r>
      <w:r w:rsidR="003822EB">
        <w:rPr>
          <w:b/>
          <w:bCs/>
          <w:sz w:val="28"/>
          <w:szCs w:val="28"/>
        </w:rPr>
        <w:t>AUGUST</w:t>
      </w:r>
      <w:r w:rsidRPr="00F52594">
        <w:rPr>
          <w:b/>
          <w:bCs/>
          <w:sz w:val="28"/>
          <w:szCs w:val="28"/>
        </w:rPr>
        <w:t xml:space="preserve"> 2024</w:t>
      </w:r>
    </w:p>
    <w:p w14:paraId="1CB42538" w14:textId="77777777" w:rsidR="00273153" w:rsidRPr="00F52594" w:rsidRDefault="00273153" w:rsidP="00273153">
      <w:pPr>
        <w:jc w:val="center"/>
        <w:rPr>
          <w:b/>
          <w:bCs/>
          <w:sz w:val="28"/>
          <w:szCs w:val="28"/>
        </w:rPr>
      </w:pPr>
    </w:p>
    <w:p w14:paraId="46048F0A" w14:textId="77777777" w:rsidR="00273153" w:rsidRPr="00F52594" w:rsidRDefault="00273153" w:rsidP="00273153">
      <w:pPr>
        <w:rPr>
          <w:b/>
          <w:sz w:val="24"/>
        </w:rPr>
      </w:pPr>
      <w:r w:rsidRPr="00F52594">
        <w:rPr>
          <w:b/>
          <w:sz w:val="24"/>
        </w:rPr>
        <w:lastRenderedPageBreak/>
        <w:t>CONTENTS</w:t>
      </w:r>
    </w:p>
    <w:sdt>
      <w:sdtPr>
        <w:rPr>
          <w:rFonts w:ascii="Arial" w:eastAsia="Times New Roman" w:hAnsi="Arial" w:cs="Times New Roman"/>
          <w:color w:val="auto"/>
          <w:sz w:val="20"/>
          <w:lang w:val="en-US" w:eastAsia="en-US"/>
        </w:rPr>
        <w:id w:val="1029383860"/>
        <w:docPartObj>
          <w:docPartGallery w:val="Table of Contents"/>
          <w:docPartUnique/>
        </w:docPartObj>
      </w:sdtPr>
      <w:sdtEndPr>
        <w:rPr>
          <w:b/>
          <w:bCs/>
        </w:rPr>
      </w:sdtEndPr>
      <w:sdtContent>
        <w:p w14:paraId="37F0473A" w14:textId="77777777" w:rsidR="00187141" w:rsidRPr="00F52594" w:rsidRDefault="00187141" w:rsidP="000907D5">
          <w:pPr>
            <w:pStyle w:val="NaslovTOC"/>
          </w:pPr>
        </w:p>
        <w:p w14:paraId="4CC1CA34" w14:textId="1A3E4B44" w:rsidR="00FA7545" w:rsidRDefault="00187141">
          <w:pPr>
            <w:pStyle w:val="Kazalovsebine1"/>
            <w:tabs>
              <w:tab w:val="right" w:leader="dot" w:pos="8488"/>
            </w:tabs>
            <w:rPr>
              <w:rFonts w:asciiTheme="minorHAnsi" w:eastAsiaTheme="minorEastAsia" w:hAnsiTheme="minorHAnsi" w:cstheme="minorBidi"/>
              <w:noProof/>
              <w:kern w:val="2"/>
              <w:sz w:val="22"/>
              <w:szCs w:val="22"/>
              <w:lang w:val="sl-SI" w:eastAsia="sl-SI"/>
              <w14:ligatures w14:val="standardContextual"/>
            </w:rPr>
          </w:pPr>
          <w:r w:rsidRPr="00F52594">
            <w:rPr>
              <w:rFonts w:cs="Arial"/>
            </w:rPr>
            <w:fldChar w:fldCharType="begin"/>
          </w:r>
          <w:r w:rsidRPr="00F52594">
            <w:rPr>
              <w:rFonts w:cs="Arial"/>
            </w:rPr>
            <w:instrText xml:space="preserve"> TOC \o "1-3" \h \z \u </w:instrText>
          </w:r>
          <w:r w:rsidRPr="00F52594">
            <w:rPr>
              <w:rFonts w:cs="Arial"/>
            </w:rPr>
            <w:fldChar w:fldCharType="separate"/>
          </w:r>
          <w:hyperlink w:anchor="_Toc174015479" w:history="1">
            <w:r w:rsidR="00FA7545" w:rsidRPr="00E83302">
              <w:rPr>
                <w:rStyle w:val="Hiperpovezava"/>
                <w:noProof/>
              </w:rPr>
              <w:t>1. Entry summary declaration</w:t>
            </w:r>
            <w:r w:rsidR="00FA7545">
              <w:rPr>
                <w:noProof/>
                <w:webHidden/>
              </w:rPr>
              <w:tab/>
            </w:r>
            <w:r w:rsidR="00FA7545">
              <w:rPr>
                <w:noProof/>
                <w:webHidden/>
              </w:rPr>
              <w:fldChar w:fldCharType="begin"/>
            </w:r>
            <w:r w:rsidR="00FA7545">
              <w:rPr>
                <w:noProof/>
                <w:webHidden/>
              </w:rPr>
              <w:instrText xml:space="preserve"> PAGEREF _Toc174015479 \h </w:instrText>
            </w:r>
            <w:r w:rsidR="00FA7545">
              <w:rPr>
                <w:noProof/>
                <w:webHidden/>
              </w:rPr>
            </w:r>
            <w:r w:rsidR="00FA7545">
              <w:rPr>
                <w:noProof/>
                <w:webHidden/>
              </w:rPr>
              <w:fldChar w:fldCharType="separate"/>
            </w:r>
            <w:r w:rsidR="00FA7545">
              <w:rPr>
                <w:noProof/>
                <w:webHidden/>
              </w:rPr>
              <w:t>3</w:t>
            </w:r>
            <w:r w:rsidR="00FA7545">
              <w:rPr>
                <w:noProof/>
                <w:webHidden/>
              </w:rPr>
              <w:fldChar w:fldCharType="end"/>
            </w:r>
          </w:hyperlink>
        </w:p>
        <w:p w14:paraId="417713D8" w14:textId="51B819D9" w:rsidR="00FA7545" w:rsidRDefault="00000000">
          <w:pPr>
            <w:pStyle w:val="Kazalovsebine1"/>
            <w:tabs>
              <w:tab w:val="left" w:pos="660"/>
              <w:tab w:val="right" w:leader="dot" w:pos="8488"/>
            </w:tabs>
            <w:rPr>
              <w:rFonts w:asciiTheme="minorHAnsi" w:eastAsiaTheme="minorEastAsia" w:hAnsiTheme="minorHAnsi" w:cstheme="minorBidi"/>
              <w:noProof/>
              <w:kern w:val="2"/>
              <w:sz w:val="22"/>
              <w:szCs w:val="22"/>
              <w:lang w:val="sl-SI" w:eastAsia="sl-SI"/>
              <w14:ligatures w14:val="standardContextual"/>
            </w:rPr>
          </w:pPr>
          <w:hyperlink w:anchor="_Toc174015480" w:history="1">
            <w:r w:rsidR="00FA7545" w:rsidRPr="00E83302">
              <w:rPr>
                <w:rStyle w:val="Hiperpovezava"/>
                <w:noProof/>
              </w:rPr>
              <w:t>1.1.</w:t>
            </w:r>
            <w:r w:rsidR="00FA7545">
              <w:rPr>
                <w:rFonts w:asciiTheme="minorHAnsi" w:eastAsiaTheme="minorEastAsia" w:hAnsiTheme="minorHAnsi" w:cstheme="minorBidi"/>
                <w:noProof/>
                <w:kern w:val="2"/>
                <w:sz w:val="22"/>
                <w:szCs w:val="22"/>
                <w:lang w:val="sl-SI" w:eastAsia="sl-SI"/>
                <w14:ligatures w14:val="standardContextual"/>
              </w:rPr>
              <w:tab/>
            </w:r>
            <w:r w:rsidR="00FA7545" w:rsidRPr="00E83302">
              <w:rPr>
                <w:rStyle w:val="Hiperpovezava"/>
                <w:noProof/>
              </w:rPr>
              <w:t>Maritime traffic</w:t>
            </w:r>
            <w:r w:rsidR="00FA7545">
              <w:rPr>
                <w:noProof/>
                <w:webHidden/>
              </w:rPr>
              <w:tab/>
            </w:r>
            <w:r w:rsidR="00FA7545">
              <w:rPr>
                <w:noProof/>
                <w:webHidden/>
              </w:rPr>
              <w:fldChar w:fldCharType="begin"/>
            </w:r>
            <w:r w:rsidR="00FA7545">
              <w:rPr>
                <w:noProof/>
                <w:webHidden/>
              </w:rPr>
              <w:instrText xml:space="preserve"> PAGEREF _Toc174015480 \h </w:instrText>
            </w:r>
            <w:r w:rsidR="00FA7545">
              <w:rPr>
                <w:noProof/>
                <w:webHidden/>
              </w:rPr>
            </w:r>
            <w:r w:rsidR="00FA7545">
              <w:rPr>
                <w:noProof/>
                <w:webHidden/>
              </w:rPr>
              <w:fldChar w:fldCharType="separate"/>
            </w:r>
            <w:r w:rsidR="00FA7545">
              <w:rPr>
                <w:noProof/>
                <w:webHidden/>
              </w:rPr>
              <w:t>5</w:t>
            </w:r>
            <w:r w:rsidR="00FA7545">
              <w:rPr>
                <w:noProof/>
                <w:webHidden/>
              </w:rPr>
              <w:fldChar w:fldCharType="end"/>
            </w:r>
          </w:hyperlink>
        </w:p>
        <w:p w14:paraId="10410EFA" w14:textId="5B9DDD2E" w:rsidR="00FA7545" w:rsidRDefault="00000000">
          <w:pPr>
            <w:pStyle w:val="Kazalovsebine1"/>
            <w:tabs>
              <w:tab w:val="left" w:pos="660"/>
              <w:tab w:val="right" w:leader="dot" w:pos="8488"/>
            </w:tabs>
            <w:rPr>
              <w:rFonts w:asciiTheme="minorHAnsi" w:eastAsiaTheme="minorEastAsia" w:hAnsiTheme="minorHAnsi" w:cstheme="minorBidi"/>
              <w:noProof/>
              <w:kern w:val="2"/>
              <w:sz w:val="22"/>
              <w:szCs w:val="22"/>
              <w:lang w:val="sl-SI" w:eastAsia="sl-SI"/>
              <w14:ligatures w14:val="standardContextual"/>
            </w:rPr>
          </w:pPr>
          <w:hyperlink w:anchor="_Toc174015481" w:history="1">
            <w:r w:rsidR="00FA7545" w:rsidRPr="00E83302">
              <w:rPr>
                <w:rStyle w:val="Hiperpovezava"/>
                <w:bCs/>
                <w:noProof/>
              </w:rPr>
              <w:t>1.2.</w:t>
            </w:r>
            <w:r w:rsidR="00FA7545">
              <w:rPr>
                <w:rFonts w:asciiTheme="minorHAnsi" w:eastAsiaTheme="minorEastAsia" w:hAnsiTheme="minorHAnsi" w:cstheme="minorBidi"/>
                <w:noProof/>
                <w:kern w:val="2"/>
                <w:sz w:val="22"/>
                <w:szCs w:val="22"/>
                <w:lang w:val="sl-SI" w:eastAsia="sl-SI"/>
                <w14:ligatures w14:val="standardContextual"/>
              </w:rPr>
              <w:tab/>
            </w:r>
            <w:r w:rsidR="00FA7545" w:rsidRPr="00E83302">
              <w:rPr>
                <w:rStyle w:val="Hiperpovezava"/>
                <w:bCs/>
                <w:noProof/>
              </w:rPr>
              <w:t>Air traffic</w:t>
            </w:r>
            <w:r w:rsidR="00FA7545">
              <w:rPr>
                <w:noProof/>
                <w:webHidden/>
              </w:rPr>
              <w:tab/>
            </w:r>
            <w:r w:rsidR="00FA7545">
              <w:rPr>
                <w:noProof/>
                <w:webHidden/>
              </w:rPr>
              <w:fldChar w:fldCharType="begin"/>
            </w:r>
            <w:r w:rsidR="00FA7545">
              <w:rPr>
                <w:noProof/>
                <w:webHidden/>
              </w:rPr>
              <w:instrText xml:space="preserve"> PAGEREF _Toc174015481 \h </w:instrText>
            </w:r>
            <w:r w:rsidR="00FA7545">
              <w:rPr>
                <w:noProof/>
                <w:webHidden/>
              </w:rPr>
            </w:r>
            <w:r w:rsidR="00FA7545">
              <w:rPr>
                <w:noProof/>
                <w:webHidden/>
              </w:rPr>
              <w:fldChar w:fldCharType="separate"/>
            </w:r>
            <w:r w:rsidR="00FA7545">
              <w:rPr>
                <w:noProof/>
                <w:webHidden/>
              </w:rPr>
              <w:t>5</w:t>
            </w:r>
            <w:r w:rsidR="00FA7545">
              <w:rPr>
                <w:noProof/>
                <w:webHidden/>
              </w:rPr>
              <w:fldChar w:fldCharType="end"/>
            </w:r>
          </w:hyperlink>
        </w:p>
        <w:p w14:paraId="2AE84791" w14:textId="4402DBAE" w:rsidR="00FA7545" w:rsidRDefault="00000000">
          <w:pPr>
            <w:pStyle w:val="Kazalovsebine1"/>
            <w:tabs>
              <w:tab w:val="left" w:pos="660"/>
              <w:tab w:val="right" w:leader="dot" w:pos="8488"/>
            </w:tabs>
            <w:rPr>
              <w:rFonts w:asciiTheme="minorHAnsi" w:eastAsiaTheme="minorEastAsia" w:hAnsiTheme="minorHAnsi" w:cstheme="minorBidi"/>
              <w:noProof/>
              <w:kern w:val="2"/>
              <w:sz w:val="22"/>
              <w:szCs w:val="22"/>
              <w:lang w:val="sl-SI" w:eastAsia="sl-SI"/>
              <w14:ligatures w14:val="standardContextual"/>
            </w:rPr>
          </w:pPr>
          <w:hyperlink w:anchor="_Toc174015482" w:history="1">
            <w:r w:rsidR="00FA7545" w:rsidRPr="00E83302">
              <w:rPr>
                <w:rStyle w:val="Hiperpovezava"/>
                <w:bCs/>
                <w:noProof/>
              </w:rPr>
              <w:t>1.3.</w:t>
            </w:r>
            <w:r w:rsidR="00FA7545">
              <w:rPr>
                <w:rFonts w:asciiTheme="minorHAnsi" w:eastAsiaTheme="minorEastAsia" w:hAnsiTheme="minorHAnsi" w:cstheme="minorBidi"/>
                <w:noProof/>
                <w:kern w:val="2"/>
                <w:sz w:val="22"/>
                <w:szCs w:val="22"/>
                <w:lang w:val="sl-SI" w:eastAsia="sl-SI"/>
                <w14:ligatures w14:val="standardContextual"/>
              </w:rPr>
              <w:tab/>
            </w:r>
            <w:r w:rsidR="00FA7545" w:rsidRPr="00E83302">
              <w:rPr>
                <w:rStyle w:val="Hiperpovezava"/>
                <w:noProof/>
              </w:rPr>
              <w:t>Rail traffic</w:t>
            </w:r>
            <w:r w:rsidR="00FA7545">
              <w:rPr>
                <w:noProof/>
                <w:webHidden/>
              </w:rPr>
              <w:tab/>
            </w:r>
            <w:r w:rsidR="00FA7545">
              <w:rPr>
                <w:noProof/>
                <w:webHidden/>
              </w:rPr>
              <w:fldChar w:fldCharType="begin"/>
            </w:r>
            <w:r w:rsidR="00FA7545">
              <w:rPr>
                <w:noProof/>
                <w:webHidden/>
              </w:rPr>
              <w:instrText xml:space="preserve"> PAGEREF _Toc174015482 \h </w:instrText>
            </w:r>
            <w:r w:rsidR="00FA7545">
              <w:rPr>
                <w:noProof/>
                <w:webHidden/>
              </w:rPr>
            </w:r>
            <w:r w:rsidR="00FA7545">
              <w:rPr>
                <w:noProof/>
                <w:webHidden/>
              </w:rPr>
              <w:fldChar w:fldCharType="separate"/>
            </w:r>
            <w:r w:rsidR="00FA7545">
              <w:rPr>
                <w:noProof/>
                <w:webHidden/>
              </w:rPr>
              <w:t>5</w:t>
            </w:r>
            <w:r w:rsidR="00FA7545">
              <w:rPr>
                <w:noProof/>
                <w:webHidden/>
              </w:rPr>
              <w:fldChar w:fldCharType="end"/>
            </w:r>
          </w:hyperlink>
        </w:p>
        <w:p w14:paraId="2C0E48BD" w14:textId="3F170F83" w:rsidR="00FA7545" w:rsidRDefault="00000000">
          <w:pPr>
            <w:pStyle w:val="Kazalovsebine1"/>
            <w:tabs>
              <w:tab w:val="left" w:pos="660"/>
              <w:tab w:val="right" w:leader="dot" w:pos="8488"/>
            </w:tabs>
            <w:rPr>
              <w:rFonts w:asciiTheme="minorHAnsi" w:eastAsiaTheme="minorEastAsia" w:hAnsiTheme="minorHAnsi" w:cstheme="minorBidi"/>
              <w:noProof/>
              <w:kern w:val="2"/>
              <w:sz w:val="22"/>
              <w:szCs w:val="22"/>
              <w:lang w:val="sl-SI" w:eastAsia="sl-SI"/>
              <w14:ligatures w14:val="standardContextual"/>
            </w:rPr>
          </w:pPr>
          <w:hyperlink w:anchor="_Toc174015483" w:history="1">
            <w:r w:rsidR="00FA7545" w:rsidRPr="00E83302">
              <w:rPr>
                <w:rStyle w:val="Hiperpovezava"/>
                <w:noProof/>
              </w:rPr>
              <w:t>1.4.</w:t>
            </w:r>
            <w:r w:rsidR="00FA7545">
              <w:rPr>
                <w:rFonts w:asciiTheme="minorHAnsi" w:eastAsiaTheme="minorEastAsia" w:hAnsiTheme="minorHAnsi" w:cstheme="minorBidi"/>
                <w:noProof/>
                <w:kern w:val="2"/>
                <w:sz w:val="22"/>
                <w:szCs w:val="22"/>
                <w:lang w:val="sl-SI" w:eastAsia="sl-SI"/>
                <w14:ligatures w14:val="standardContextual"/>
              </w:rPr>
              <w:tab/>
            </w:r>
            <w:r w:rsidR="00FA7545" w:rsidRPr="00E83302">
              <w:rPr>
                <w:rStyle w:val="Hiperpovezava"/>
                <w:noProof/>
              </w:rPr>
              <w:t>Road traffic</w:t>
            </w:r>
            <w:r w:rsidR="00FA7545">
              <w:rPr>
                <w:noProof/>
                <w:webHidden/>
              </w:rPr>
              <w:tab/>
            </w:r>
            <w:r w:rsidR="00FA7545">
              <w:rPr>
                <w:noProof/>
                <w:webHidden/>
              </w:rPr>
              <w:fldChar w:fldCharType="begin"/>
            </w:r>
            <w:r w:rsidR="00FA7545">
              <w:rPr>
                <w:noProof/>
                <w:webHidden/>
              </w:rPr>
              <w:instrText xml:space="preserve"> PAGEREF _Toc174015483 \h </w:instrText>
            </w:r>
            <w:r w:rsidR="00FA7545">
              <w:rPr>
                <w:noProof/>
                <w:webHidden/>
              </w:rPr>
            </w:r>
            <w:r w:rsidR="00FA7545">
              <w:rPr>
                <w:noProof/>
                <w:webHidden/>
              </w:rPr>
              <w:fldChar w:fldCharType="separate"/>
            </w:r>
            <w:r w:rsidR="00FA7545">
              <w:rPr>
                <w:noProof/>
                <w:webHidden/>
              </w:rPr>
              <w:t>5</w:t>
            </w:r>
            <w:r w:rsidR="00FA7545">
              <w:rPr>
                <w:noProof/>
                <w:webHidden/>
              </w:rPr>
              <w:fldChar w:fldCharType="end"/>
            </w:r>
          </w:hyperlink>
        </w:p>
        <w:p w14:paraId="3B0943F1" w14:textId="7899DB74" w:rsidR="00FA7545" w:rsidRDefault="00000000">
          <w:pPr>
            <w:pStyle w:val="Kazalovsebine1"/>
            <w:tabs>
              <w:tab w:val="left" w:pos="660"/>
              <w:tab w:val="right" w:leader="dot" w:pos="8488"/>
            </w:tabs>
            <w:rPr>
              <w:rFonts w:asciiTheme="minorHAnsi" w:eastAsiaTheme="minorEastAsia" w:hAnsiTheme="minorHAnsi" w:cstheme="minorBidi"/>
              <w:noProof/>
              <w:kern w:val="2"/>
              <w:sz w:val="22"/>
              <w:szCs w:val="22"/>
              <w:lang w:val="sl-SI" w:eastAsia="sl-SI"/>
              <w14:ligatures w14:val="standardContextual"/>
            </w:rPr>
          </w:pPr>
          <w:hyperlink w:anchor="_Toc174015484" w:history="1">
            <w:r w:rsidR="00FA7545" w:rsidRPr="00E83302">
              <w:rPr>
                <w:rStyle w:val="Hiperpovezava"/>
                <w:noProof/>
              </w:rPr>
              <w:t>1.5.</w:t>
            </w:r>
            <w:r w:rsidR="00FA7545">
              <w:rPr>
                <w:rFonts w:asciiTheme="minorHAnsi" w:eastAsiaTheme="minorEastAsia" w:hAnsiTheme="minorHAnsi" w:cstheme="minorBidi"/>
                <w:noProof/>
                <w:kern w:val="2"/>
                <w:sz w:val="22"/>
                <w:szCs w:val="22"/>
                <w:lang w:val="sl-SI" w:eastAsia="sl-SI"/>
                <w14:ligatures w14:val="standardContextual"/>
              </w:rPr>
              <w:tab/>
            </w:r>
            <w:r w:rsidR="00FA7545" w:rsidRPr="00E83302">
              <w:rPr>
                <w:rStyle w:val="Hiperpovezava"/>
                <w:noProof/>
              </w:rPr>
              <w:t>Inland water traffic</w:t>
            </w:r>
            <w:r w:rsidR="00FA7545">
              <w:rPr>
                <w:noProof/>
                <w:webHidden/>
              </w:rPr>
              <w:tab/>
            </w:r>
            <w:r w:rsidR="00FA7545">
              <w:rPr>
                <w:noProof/>
                <w:webHidden/>
              </w:rPr>
              <w:fldChar w:fldCharType="begin"/>
            </w:r>
            <w:r w:rsidR="00FA7545">
              <w:rPr>
                <w:noProof/>
                <w:webHidden/>
              </w:rPr>
              <w:instrText xml:space="preserve"> PAGEREF _Toc174015484 \h </w:instrText>
            </w:r>
            <w:r w:rsidR="00FA7545">
              <w:rPr>
                <w:noProof/>
                <w:webHidden/>
              </w:rPr>
            </w:r>
            <w:r w:rsidR="00FA7545">
              <w:rPr>
                <w:noProof/>
                <w:webHidden/>
              </w:rPr>
              <w:fldChar w:fldCharType="separate"/>
            </w:r>
            <w:r w:rsidR="00FA7545">
              <w:rPr>
                <w:noProof/>
                <w:webHidden/>
              </w:rPr>
              <w:t>6</w:t>
            </w:r>
            <w:r w:rsidR="00FA7545">
              <w:rPr>
                <w:noProof/>
                <w:webHidden/>
              </w:rPr>
              <w:fldChar w:fldCharType="end"/>
            </w:r>
          </w:hyperlink>
        </w:p>
        <w:p w14:paraId="24558C03" w14:textId="6D8040C0" w:rsidR="00187141" w:rsidRPr="00F52594" w:rsidRDefault="00187141">
          <w:r w:rsidRPr="00F52594">
            <w:rPr>
              <w:rFonts w:cs="Arial"/>
              <w:b/>
              <w:bCs/>
            </w:rPr>
            <w:fldChar w:fldCharType="end"/>
          </w:r>
        </w:p>
      </w:sdtContent>
    </w:sdt>
    <w:p w14:paraId="00E91D9E" w14:textId="77777777" w:rsidR="00273153" w:rsidRPr="00F52594" w:rsidRDefault="00273153" w:rsidP="00273153">
      <w:pPr>
        <w:rPr>
          <w:b/>
          <w:sz w:val="24"/>
        </w:rPr>
      </w:pPr>
    </w:p>
    <w:p w14:paraId="0A21F7AA" w14:textId="77777777" w:rsidR="00273153" w:rsidRPr="00F52594" w:rsidRDefault="00273153" w:rsidP="00273153">
      <w:pPr>
        <w:rPr>
          <w:b/>
          <w:sz w:val="24"/>
        </w:rPr>
      </w:pPr>
    </w:p>
    <w:p w14:paraId="5426F040" w14:textId="77777777" w:rsidR="00273153" w:rsidRPr="00F52594" w:rsidRDefault="00273153" w:rsidP="00273153">
      <w:pPr>
        <w:rPr>
          <w:b/>
          <w:sz w:val="24"/>
        </w:rPr>
      </w:pPr>
    </w:p>
    <w:p w14:paraId="74DBB521" w14:textId="77777777" w:rsidR="00273153" w:rsidRPr="00F52594" w:rsidRDefault="00273153" w:rsidP="00273153">
      <w:pPr>
        <w:rPr>
          <w:b/>
          <w:sz w:val="24"/>
        </w:rPr>
      </w:pPr>
    </w:p>
    <w:p w14:paraId="2BC0AE79" w14:textId="77777777" w:rsidR="00273153" w:rsidRPr="00F52594" w:rsidRDefault="00273153" w:rsidP="00273153">
      <w:pPr>
        <w:rPr>
          <w:b/>
          <w:sz w:val="24"/>
        </w:rPr>
      </w:pPr>
    </w:p>
    <w:p w14:paraId="19F2189F" w14:textId="77777777" w:rsidR="00273153" w:rsidRPr="00F52594" w:rsidRDefault="00273153" w:rsidP="00273153">
      <w:pPr>
        <w:rPr>
          <w:b/>
          <w:sz w:val="24"/>
        </w:rPr>
      </w:pPr>
    </w:p>
    <w:p w14:paraId="77A75C3B" w14:textId="77777777" w:rsidR="00273153" w:rsidRPr="00F52594" w:rsidRDefault="00273153" w:rsidP="00273153">
      <w:pPr>
        <w:rPr>
          <w:b/>
          <w:sz w:val="24"/>
        </w:rPr>
      </w:pPr>
    </w:p>
    <w:p w14:paraId="6A8A46C8" w14:textId="77777777" w:rsidR="00273153" w:rsidRPr="00F52594" w:rsidRDefault="00273153" w:rsidP="00273153">
      <w:pPr>
        <w:rPr>
          <w:b/>
          <w:sz w:val="24"/>
        </w:rPr>
      </w:pPr>
    </w:p>
    <w:p w14:paraId="55CA5087" w14:textId="77777777" w:rsidR="00273153" w:rsidRPr="00F52594" w:rsidRDefault="00273153" w:rsidP="00273153">
      <w:pPr>
        <w:rPr>
          <w:b/>
          <w:sz w:val="24"/>
        </w:rPr>
      </w:pPr>
    </w:p>
    <w:p w14:paraId="4D803E22" w14:textId="77777777" w:rsidR="00273153" w:rsidRPr="00F52594" w:rsidRDefault="00273153" w:rsidP="00273153">
      <w:pPr>
        <w:rPr>
          <w:b/>
          <w:sz w:val="24"/>
        </w:rPr>
      </w:pPr>
    </w:p>
    <w:p w14:paraId="4BDC7831" w14:textId="77777777" w:rsidR="00273153" w:rsidRPr="00F52594" w:rsidRDefault="00273153" w:rsidP="00273153">
      <w:pPr>
        <w:rPr>
          <w:b/>
          <w:sz w:val="24"/>
        </w:rPr>
      </w:pPr>
    </w:p>
    <w:p w14:paraId="63FBC179" w14:textId="77777777" w:rsidR="00273153" w:rsidRPr="00F52594" w:rsidRDefault="00273153" w:rsidP="00273153">
      <w:pPr>
        <w:rPr>
          <w:b/>
          <w:sz w:val="24"/>
        </w:rPr>
      </w:pPr>
    </w:p>
    <w:p w14:paraId="4C3A1859" w14:textId="77777777" w:rsidR="00273153" w:rsidRPr="00F52594" w:rsidRDefault="00273153" w:rsidP="00273153">
      <w:pPr>
        <w:rPr>
          <w:b/>
          <w:sz w:val="24"/>
        </w:rPr>
      </w:pPr>
    </w:p>
    <w:p w14:paraId="6BC4DC8E" w14:textId="77777777" w:rsidR="00273153" w:rsidRPr="00F52594" w:rsidRDefault="00273153" w:rsidP="00273153">
      <w:pPr>
        <w:rPr>
          <w:b/>
          <w:sz w:val="24"/>
        </w:rPr>
      </w:pPr>
    </w:p>
    <w:p w14:paraId="7A4E25B3" w14:textId="77777777" w:rsidR="00273153" w:rsidRPr="00F52594" w:rsidRDefault="00273153" w:rsidP="00273153">
      <w:pPr>
        <w:rPr>
          <w:b/>
          <w:sz w:val="24"/>
        </w:rPr>
      </w:pPr>
    </w:p>
    <w:p w14:paraId="23093672" w14:textId="77777777" w:rsidR="00273153" w:rsidRPr="00F52594" w:rsidRDefault="00273153" w:rsidP="00273153">
      <w:pPr>
        <w:rPr>
          <w:b/>
          <w:sz w:val="24"/>
        </w:rPr>
      </w:pPr>
    </w:p>
    <w:p w14:paraId="337A74FA" w14:textId="77777777" w:rsidR="00273153" w:rsidRPr="00F52594" w:rsidRDefault="00273153" w:rsidP="00273153">
      <w:pPr>
        <w:rPr>
          <w:b/>
          <w:sz w:val="24"/>
        </w:rPr>
      </w:pPr>
    </w:p>
    <w:p w14:paraId="7BE6722F" w14:textId="77777777" w:rsidR="00273153" w:rsidRPr="00F52594" w:rsidRDefault="00273153" w:rsidP="00273153">
      <w:pPr>
        <w:rPr>
          <w:b/>
          <w:sz w:val="24"/>
        </w:rPr>
      </w:pPr>
    </w:p>
    <w:p w14:paraId="52B76D55" w14:textId="77777777" w:rsidR="00273153" w:rsidRPr="00F52594" w:rsidRDefault="00273153" w:rsidP="00273153">
      <w:pPr>
        <w:rPr>
          <w:b/>
          <w:sz w:val="24"/>
        </w:rPr>
      </w:pPr>
    </w:p>
    <w:p w14:paraId="61EA443F" w14:textId="77777777" w:rsidR="00273153" w:rsidRPr="00F52594" w:rsidRDefault="00273153" w:rsidP="00273153">
      <w:pPr>
        <w:rPr>
          <w:b/>
          <w:sz w:val="24"/>
        </w:rPr>
      </w:pPr>
    </w:p>
    <w:p w14:paraId="73491414" w14:textId="77777777" w:rsidR="00273153" w:rsidRPr="00F52594" w:rsidRDefault="00273153" w:rsidP="00273153">
      <w:pPr>
        <w:rPr>
          <w:b/>
          <w:sz w:val="24"/>
        </w:rPr>
      </w:pPr>
    </w:p>
    <w:p w14:paraId="55943262" w14:textId="77777777" w:rsidR="00273153" w:rsidRPr="00F52594" w:rsidRDefault="00273153" w:rsidP="00273153">
      <w:pPr>
        <w:rPr>
          <w:b/>
          <w:sz w:val="24"/>
        </w:rPr>
      </w:pPr>
    </w:p>
    <w:p w14:paraId="315DC1D4" w14:textId="77777777" w:rsidR="00273153" w:rsidRPr="00F52594" w:rsidRDefault="00273153" w:rsidP="00273153">
      <w:pPr>
        <w:rPr>
          <w:b/>
          <w:sz w:val="24"/>
        </w:rPr>
      </w:pPr>
    </w:p>
    <w:p w14:paraId="74E1AEE4" w14:textId="77777777" w:rsidR="00273153" w:rsidRPr="00F52594" w:rsidRDefault="00273153" w:rsidP="00273153">
      <w:pPr>
        <w:rPr>
          <w:b/>
          <w:sz w:val="24"/>
        </w:rPr>
      </w:pPr>
    </w:p>
    <w:p w14:paraId="10FF489B" w14:textId="77777777" w:rsidR="00273153" w:rsidRPr="00F52594" w:rsidRDefault="00273153" w:rsidP="00273153">
      <w:pPr>
        <w:rPr>
          <w:b/>
          <w:sz w:val="24"/>
        </w:rPr>
      </w:pPr>
    </w:p>
    <w:p w14:paraId="2C912BD1" w14:textId="77777777" w:rsidR="00273153" w:rsidRDefault="00273153" w:rsidP="00273153">
      <w:pPr>
        <w:rPr>
          <w:b/>
          <w:sz w:val="24"/>
        </w:rPr>
      </w:pPr>
    </w:p>
    <w:p w14:paraId="584AABAB" w14:textId="77777777" w:rsidR="00FC6EE0" w:rsidRDefault="00FC6EE0" w:rsidP="00273153">
      <w:pPr>
        <w:rPr>
          <w:b/>
          <w:sz w:val="24"/>
        </w:rPr>
      </w:pPr>
    </w:p>
    <w:p w14:paraId="43A8A88C" w14:textId="77777777" w:rsidR="00FC6EE0" w:rsidRDefault="00FC6EE0" w:rsidP="00273153">
      <w:pPr>
        <w:rPr>
          <w:b/>
          <w:sz w:val="24"/>
        </w:rPr>
      </w:pPr>
    </w:p>
    <w:p w14:paraId="3856CC24" w14:textId="77777777" w:rsidR="00FC6EE0" w:rsidRDefault="00FC6EE0" w:rsidP="00273153">
      <w:pPr>
        <w:rPr>
          <w:b/>
          <w:sz w:val="24"/>
        </w:rPr>
      </w:pPr>
    </w:p>
    <w:p w14:paraId="74E24D47" w14:textId="77777777" w:rsidR="00FC6EE0" w:rsidRPr="00F52594" w:rsidRDefault="00FC6EE0" w:rsidP="00273153">
      <w:pPr>
        <w:rPr>
          <w:b/>
          <w:sz w:val="24"/>
        </w:rPr>
      </w:pPr>
    </w:p>
    <w:p w14:paraId="28BB9295" w14:textId="77777777" w:rsidR="00273153" w:rsidRPr="00F52594" w:rsidRDefault="00273153" w:rsidP="00273153">
      <w:pPr>
        <w:rPr>
          <w:b/>
          <w:sz w:val="24"/>
        </w:rPr>
      </w:pPr>
    </w:p>
    <w:p w14:paraId="3EF32649" w14:textId="77777777" w:rsidR="00273153" w:rsidRPr="00F52594" w:rsidRDefault="00273153" w:rsidP="00273153">
      <w:pPr>
        <w:rPr>
          <w:b/>
          <w:sz w:val="24"/>
        </w:rPr>
      </w:pPr>
    </w:p>
    <w:p w14:paraId="1110954A" w14:textId="77777777" w:rsidR="00273153" w:rsidRPr="00F52594" w:rsidRDefault="00273153" w:rsidP="00273153">
      <w:pPr>
        <w:rPr>
          <w:b/>
          <w:sz w:val="24"/>
        </w:rPr>
      </w:pPr>
    </w:p>
    <w:p w14:paraId="443BF865" w14:textId="77777777" w:rsidR="00273153" w:rsidRPr="00F52594" w:rsidRDefault="00273153" w:rsidP="00273153">
      <w:pPr>
        <w:rPr>
          <w:b/>
          <w:sz w:val="24"/>
        </w:rPr>
      </w:pPr>
    </w:p>
    <w:p w14:paraId="4BB52397" w14:textId="77777777" w:rsidR="00273153" w:rsidRPr="00F52594" w:rsidRDefault="00273153" w:rsidP="00273153">
      <w:pPr>
        <w:rPr>
          <w:b/>
          <w:sz w:val="24"/>
        </w:rPr>
      </w:pPr>
    </w:p>
    <w:p w14:paraId="7F233D14" w14:textId="77777777" w:rsidR="00273153" w:rsidRPr="00F52594" w:rsidRDefault="00273153" w:rsidP="00273153">
      <w:pPr>
        <w:rPr>
          <w:b/>
          <w:sz w:val="24"/>
        </w:rPr>
      </w:pPr>
    </w:p>
    <w:p w14:paraId="05EB37AF" w14:textId="77777777" w:rsidR="00C9591F" w:rsidRPr="00467D30" w:rsidRDefault="00841AE1" w:rsidP="00FC6EE0">
      <w:pPr>
        <w:pStyle w:val="Naslov1"/>
      </w:pPr>
      <w:bookmarkStart w:id="0" w:name="_Toc174015479"/>
      <w:r>
        <w:lastRenderedPageBreak/>
        <w:t xml:space="preserve">1. </w:t>
      </w:r>
      <w:r w:rsidR="00F526D9" w:rsidRPr="00467D30">
        <w:t>Entry summary declaration</w:t>
      </w:r>
      <w:bookmarkEnd w:id="0"/>
      <w:r w:rsidR="00F526D9" w:rsidRPr="00467D30">
        <w:t xml:space="preserve"> </w:t>
      </w:r>
    </w:p>
    <w:p w14:paraId="2BC3DB2A" w14:textId="77777777" w:rsidR="00F526D9" w:rsidRPr="00F526D9" w:rsidRDefault="00F526D9" w:rsidP="00841AE1">
      <w:pPr>
        <w:pStyle w:val="Naslov"/>
        <w:rPr>
          <w:bCs/>
          <w:sz w:val="24"/>
        </w:rPr>
      </w:pPr>
    </w:p>
    <w:p w14:paraId="13BBA2A4" w14:textId="77777777" w:rsidR="00F526D9" w:rsidRDefault="00F526D9" w:rsidP="00F038A5">
      <w:pPr>
        <w:jc w:val="both"/>
        <w:rPr>
          <w:bCs/>
          <w:sz w:val="24"/>
        </w:rPr>
      </w:pPr>
      <w:r w:rsidRPr="00F526D9">
        <w:rPr>
          <w:bCs/>
          <w:sz w:val="24"/>
        </w:rPr>
        <w:t xml:space="preserve">Entry Summary Declaration (ENS) is the act whereby a person informs the customs authorities, in the prescribed form and manner and within a specific time limit, that goods are to be brought into the customs territory of the Union. </w:t>
      </w:r>
      <w:r w:rsidR="00172821" w:rsidRPr="00172821">
        <w:rPr>
          <w:bCs/>
          <w:sz w:val="24"/>
        </w:rPr>
        <w:t>It allows customs to conduct a risk analysis for security and safety purposes.</w:t>
      </w:r>
      <w:r w:rsidR="00172821">
        <w:rPr>
          <w:bCs/>
          <w:sz w:val="24"/>
        </w:rPr>
        <w:t xml:space="preserve"> </w:t>
      </w:r>
    </w:p>
    <w:p w14:paraId="205B32E4" w14:textId="77777777" w:rsidR="00484A9A" w:rsidRDefault="00484A9A" w:rsidP="00F526D9">
      <w:pPr>
        <w:jc w:val="both"/>
        <w:rPr>
          <w:bCs/>
          <w:sz w:val="24"/>
        </w:rPr>
      </w:pPr>
    </w:p>
    <w:p w14:paraId="65BC08FA" w14:textId="77777777" w:rsidR="00AD3BAB" w:rsidRPr="00A9352A" w:rsidRDefault="00AD3BAB" w:rsidP="00AD3BAB">
      <w:pPr>
        <w:jc w:val="both"/>
        <w:rPr>
          <w:rFonts w:cs="Arial"/>
          <w:bCs/>
          <w:sz w:val="24"/>
        </w:rPr>
      </w:pPr>
      <w:r w:rsidRPr="00A9352A">
        <w:rPr>
          <w:rFonts w:cs="Arial"/>
          <w:bCs/>
          <w:sz w:val="24"/>
        </w:rPr>
        <w:t xml:space="preserve">The </w:t>
      </w:r>
      <w:r>
        <w:rPr>
          <w:rFonts w:cs="Arial"/>
          <w:bCs/>
          <w:sz w:val="24"/>
        </w:rPr>
        <w:t>entry summary declaration</w:t>
      </w:r>
      <w:r w:rsidRPr="00A9352A">
        <w:rPr>
          <w:rFonts w:cs="Arial"/>
          <w:bCs/>
          <w:sz w:val="24"/>
        </w:rPr>
        <w:t xml:space="preserve"> is not required for: </w:t>
      </w:r>
    </w:p>
    <w:p w14:paraId="79B148D7" w14:textId="77777777" w:rsidR="00AD3BAB" w:rsidRPr="00A9352A" w:rsidRDefault="00AD3BAB" w:rsidP="00AD3BAB">
      <w:pPr>
        <w:pStyle w:val="Odstavekseznama"/>
        <w:numPr>
          <w:ilvl w:val="0"/>
          <w:numId w:val="10"/>
        </w:numPr>
        <w:jc w:val="both"/>
        <w:rPr>
          <w:rFonts w:ascii="Arial" w:hAnsi="Arial" w:cs="Arial"/>
          <w:bCs/>
          <w:sz w:val="24"/>
          <w:lang w:val="en-US"/>
        </w:rPr>
      </w:pPr>
      <w:r w:rsidRPr="00A9352A">
        <w:rPr>
          <w:rFonts w:ascii="Arial" w:hAnsi="Arial" w:cs="Arial"/>
          <w:bCs/>
          <w:sz w:val="24"/>
          <w:lang w:val="en-US"/>
        </w:rPr>
        <w:t xml:space="preserve">Import of electricity; </w:t>
      </w:r>
    </w:p>
    <w:p w14:paraId="21446122" w14:textId="77777777" w:rsidR="00AD3BAB" w:rsidRPr="00A9352A" w:rsidRDefault="00AD3BAB" w:rsidP="00AD3BAB">
      <w:pPr>
        <w:pStyle w:val="Odstavekseznama"/>
        <w:numPr>
          <w:ilvl w:val="0"/>
          <w:numId w:val="10"/>
        </w:numPr>
        <w:jc w:val="both"/>
        <w:rPr>
          <w:rFonts w:ascii="Arial" w:hAnsi="Arial" w:cs="Arial"/>
          <w:bCs/>
          <w:sz w:val="24"/>
          <w:lang w:val="en-US"/>
        </w:rPr>
      </w:pPr>
      <w:r w:rsidRPr="00A9352A">
        <w:rPr>
          <w:rFonts w:ascii="Arial" w:hAnsi="Arial" w:cs="Arial"/>
          <w:bCs/>
          <w:sz w:val="24"/>
          <w:lang w:val="en-US"/>
        </w:rPr>
        <w:t xml:space="preserve">Goods entering through pipelines; </w:t>
      </w:r>
    </w:p>
    <w:p w14:paraId="574F2719" w14:textId="77777777" w:rsidR="00AD3BAB" w:rsidRPr="00A9352A" w:rsidRDefault="00AD3BAB" w:rsidP="00AD3BAB">
      <w:pPr>
        <w:pStyle w:val="Odstavekseznama"/>
        <w:numPr>
          <w:ilvl w:val="0"/>
          <w:numId w:val="10"/>
        </w:numPr>
        <w:jc w:val="both"/>
        <w:rPr>
          <w:rFonts w:ascii="Arial" w:hAnsi="Arial" w:cs="Arial"/>
          <w:bCs/>
          <w:sz w:val="24"/>
          <w:lang w:val="en-US"/>
        </w:rPr>
      </w:pPr>
      <w:r w:rsidRPr="00A9352A">
        <w:rPr>
          <w:rFonts w:ascii="Arial" w:hAnsi="Arial" w:cs="Arial"/>
          <w:bCs/>
          <w:sz w:val="24"/>
          <w:lang w:val="en-US"/>
        </w:rPr>
        <w:t xml:space="preserve">Letters, postcards, and printed matter, including those on electronic media; </w:t>
      </w:r>
    </w:p>
    <w:p w14:paraId="129BCA71" w14:textId="77777777" w:rsidR="00AD3BAB" w:rsidRPr="00A9352A" w:rsidRDefault="00AD3BAB" w:rsidP="00AD3BAB">
      <w:pPr>
        <w:pStyle w:val="Odstavekseznama"/>
        <w:numPr>
          <w:ilvl w:val="0"/>
          <w:numId w:val="10"/>
        </w:numPr>
        <w:jc w:val="both"/>
        <w:rPr>
          <w:rFonts w:ascii="Arial" w:hAnsi="Arial" w:cs="Arial"/>
          <w:bCs/>
          <w:sz w:val="24"/>
          <w:lang w:val="en-US"/>
        </w:rPr>
      </w:pPr>
      <w:r w:rsidRPr="00A9352A">
        <w:rPr>
          <w:rFonts w:ascii="Arial" w:hAnsi="Arial" w:cs="Arial"/>
          <w:bCs/>
          <w:sz w:val="24"/>
          <w:lang w:val="en-US"/>
        </w:rPr>
        <w:t xml:space="preserve">Household items, if not transported under a transport contract; </w:t>
      </w:r>
    </w:p>
    <w:p w14:paraId="7DB21B27" w14:textId="77777777" w:rsidR="00AD3BAB" w:rsidRPr="00A9352A" w:rsidRDefault="00AD3BAB" w:rsidP="00AD3BAB">
      <w:pPr>
        <w:pStyle w:val="Odstavekseznama"/>
        <w:numPr>
          <w:ilvl w:val="0"/>
          <w:numId w:val="10"/>
        </w:numPr>
        <w:jc w:val="both"/>
        <w:rPr>
          <w:rFonts w:ascii="Arial" w:hAnsi="Arial" w:cs="Arial"/>
          <w:bCs/>
          <w:sz w:val="24"/>
          <w:lang w:val="en-US"/>
        </w:rPr>
      </w:pPr>
      <w:r w:rsidRPr="00A9352A">
        <w:rPr>
          <w:rFonts w:ascii="Arial" w:hAnsi="Arial" w:cs="Arial"/>
          <w:bCs/>
          <w:sz w:val="24"/>
          <w:lang w:val="en-US"/>
        </w:rPr>
        <w:t xml:space="preserve">Goods for which an oral customs declaration is permitted, if not transported under a transport contract; </w:t>
      </w:r>
    </w:p>
    <w:p w14:paraId="34C899A9" w14:textId="77777777" w:rsidR="00AD3BAB" w:rsidRPr="00A9352A" w:rsidRDefault="00AD3BAB" w:rsidP="00AD3BAB">
      <w:pPr>
        <w:pStyle w:val="Odstavekseznama"/>
        <w:numPr>
          <w:ilvl w:val="0"/>
          <w:numId w:val="10"/>
        </w:numPr>
        <w:jc w:val="both"/>
        <w:rPr>
          <w:rFonts w:ascii="Arial" w:hAnsi="Arial" w:cs="Arial"/>
          <w:bCs/>
          <w:sz w:val="24"/>
          <w:lang w:val="en-US"/>
        </w:rPr>
      </w:pPr>
      <w:r w:rsidRPr="00A9352A">
        <w:rPr>
          <w:rFonts w:ascii="Arial" w:hAnsi="Arial" w:cs="Arial"/>
          <w:bCs/>
          <w:sz w:val="24"/>
          <w:lang w:val="en-US"/>
        </w:rPr>
        <w:t>The following goods:</w:t>
      </w:r>
    </w:p>
    <w:p w14:paraId="0EBBB0DB"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Goods of Union farmers on estates located in third countries,</w:t>
      </w:r>
    </w:p>
    <w:p w14:paraId="517C6779"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Products of fishing, aquaculture, and hunting activities exempt from customs duties;</w:t>
      </w:r>
    </w:p>
    <w:p w14:paraId="2C9A635A"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Seeds, fertilizers, and products for soil treatment and crops imported by farmers from third countries for use on Union estates, exempt from customs duties;</w:t>
      </w:r>
    </w:p>
    <w:p w14:paraId="39E237BB"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Means of transport exempt from import duties as returned goods;</w:t>
      </w:r>
    </w:p>
    <w:p w14:paraId="3680D813"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Portable musical instruments re-imported by travelers and exempt from import duties as returned goods;</w:t>
      </w:r>
    </w:p>
    <w:p w14:paraId="07EE3443"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Animals due to seasonal migration,</w:t>
      </w:r>
    </w:p>
    <w:p w14:paraId="58579C45"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Equipment of persons in the border area of a third country for work in the border area,</w:t>
      </w:r>
    </w:p>
    <w:p w14:paraId="3412EA2B"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Instruments and apparatus of doctors,</w:t>
      </w:r>
    </w:p>
    <w:p w14:paraId="54AE4B10"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Material for disaster relief,</w:t>
      </w:r>
    </w:p>
    <w:p w14:paraId="3D827DAE"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Portable musical instruments temporarily imported for professional use,</w:t>
      </w:r>
    </w:p>
    <w:p w14:paraId="521C4005"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Full or empty packaging with permanent markings of a person from a third country, if not transported under a transport contract;</w:t>
      </w:r>
    </w:p>
    <w:p w14:paraId="20D0E86B" w14:textId="77777777" w:rsidR="00AD3BAB" w:rsidRPr="00A9352A" w:rsidRDefault="00AD3BAB" w:rsidP="00AD3BAB">
      <w:pPr>
        <w:pStyle w:val="Odstavekseznama"/>
        <w:numPr>
          <w:ilvl w:val="0"/>
          <w:numId w:val="10"/>
        </w:numPr>
        <w:jc w:val="both"/>
        <w:rPr>
          <w:rFonts w:ascii="Arial" w:hAnsi="Arial" w:cs="Arial"/>
          <w:bCs/>
          <w:sz w:val="24"/>
          <w:lang w:val="en-US"/>
        </w:rPr>
      </w:pPr>
      <w:r w:rsidRPr="00A9352A">
        <w:rPr>
          <w:rFonts w:ascii="Arial" w:hAnsi="Arial" w:cs="Arial"/>
          <w:bCs/>
          <w:sz w:val="24"/>
          <w:lang w:val="en-US"/>
        </w:rPr>
        <w:t xml:space="preserve">Goods in passengers’ personal luggage; </w:t>
      </w:r>
    </w:p>
    <w:p w14:paraId="09711A3B" w14:textId="77777777" w:rsidR="00AD3BAB" w:rsidRPr="00A9352A" w:rsidRDefault="00AD3BAB" w:rsidP="00AD3BAB">
      <w:pPr>
        <w:pStyle w:val="Odstavekseznama"/>
        <w:numPr>
          <w:ilvl w:val="0"/>
          <w:numId w:val="10"/>
        </w:numPr>
        <w:jc w:val="both"/>
        <w:rPr>
          <w:rFonts w:ascii="Arial" w:hAnsi="Arial" w:cs="Arial"/>
          <w:bCs/>
          <w:sz w:val="24"/>
          <w:lang w:val="en-US"/>
        </w:rPr>
      </w:pPr>
      <w:r w:rsidRPr="00A9352A">
        <w:rPr>
          <w:rFonts w:ascii="Arial" w:hAnsi="Arial" w:cs="Arial"/>
          <w:bCs/>
          <w:sz w:val="24"/>
          <w:lang w:val="en-US"/>
        </w:rPr>
        <w:t xml:space="preserve">Goods moving under form 302; </w:t>
      </w:r>
    </w:p>
    <w:p w14:paraId="5307F63D" w14:textId="77777777" w:rsidR="00AD3BAB" w:rsidRPr="00A9352A" w:rsidRDefault="00AD3BAB" w:rsidP="00AD3BAB">
      <w:pPr>
        <w:pStyle w:val="Odstavekseznama"/>
        <w:numPr>
          <w:ilvl w:val="0"/>
          <w:numId w:val="10"/>
        </w:numPr>
        <w:jc w:val="both"/>
        <w:rPr>
          <w:rFonts w:ascii="Arial" w:hAnsi="Arial" w:cs="Arial"/>
          <w:bCs/>
          <w:sz w:val="24"/>
          <w:lang w:val="en-US"/>
        </w:rPr>
      </w:pPr>
      <w:r w:rsidRPr="00A9352A">
        <w:rPr>
          <w:rFonts w:ascii="Arial" w:hAnsi="Arial" w:cs="Arial"/>
          <w:bCs/>
          <w:sz w:val="24"/>
          <w:lang w:val="en-US"/>
        </w:rPr>
        <w:t xml:space="preserve">Weapons and military equipment imported by an authority responsible for the military defense of a Member State; </w:t>
      </w:r>
    </w:p>
    <w:p w14:paraId="737E73D3" w14:textId="77777777" w:rsidR="00AD3BAB" w:rsidRPr="00A9352A" w:rsidRDefault="00AD3BAB" w:rsidP="00AD3BAB">
      <w:pPr>
        <w:pStyle w:val="Odstavekseznama"/>
        <w:numPr>
          <w:ilvl w:val="0"/>
          <w:numId w:val="10"/>
        </w:numPr>
        <w:jc w:val="both"/>
        <w:rPr>
          <w:rFonts w:ascii="Arial" w:hAnsi="Arial" w:cs="Arial"/>
          <w:bCs/>
          <w:sz w:val="24"/>
          <w:lang w:val="en-US"/>
        </w:rPr>
      </w:pPr>
      <w:r w:rsidRPr="00A9352A">
        <w:rPr>
          <w:rFonts w:ascii="Arial" w:hAnsi="Arial" w:cs="Arial"/>
          <w:bCs/>
          <w:sz w:val="24"/>
          <w:lang w:val="en-US"/>
        </w:rPr>
        <w:t>The following goods entering the customs territory of the Union directly from offshore facilities operated by a person established in the customs territory of the Union (e.g., drilling and working platforms):</w:t>
      </w:r>
    </w:p>
    <w:p w14:paraId="552E548C"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Goods incorporated into such facilities;</w:t>
      </w:r>
    </w:p>
    <w:p w14:paraId="6D6E521A" w14:textId="77777777" w:rsidR="00AD3BAB" w:rsidRPr="00A9352A"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Goods used for the installation or equipment of offshore facilities;</w:t>
      </w:r>
    </w:p>
    <w:p w14:paraId="3C50A815" w14:textId="77777777" w:rsidR="00AD3BAB" w:rsidRPr="005F4B00" w:rsidRDefault="00AD3BAB" w:rsidP="00AD3BAB">
      <w:pPr>
        <w:pStyle w:val="Odstavekseznama"/>
        <w:numPr>
          <w:ilvl w:val="0"/>
          <w:numId w:val="11"/>
        </w:numPr>
        <w:jc w:val="both"/>
        <w:rPr>
          <w:rFonts w:ascii="Arial" w:hAnsi="Arial" w:cs="Arial"/>
          <w:bCs/>
          <w:sz w:val="24"/>
          <w:lang w:val="en-US"/>
        </w:rPr>
      </w:pPr>
      <w:r w:rsidRPr="00A9352A">
        <w:rPr>
          <w:rFonts w:ascii="Arial" w:hAnsi="Arial" w:cs="Arial"/>
          <w:bCs/>
          <w:sz w:val="24"/>
          <w:lang w:val="en-US"/>
        </w:rPr>
        <w:t xml:space="preserve">Supplies used on offshore </w:t>
      </w:r>
      <w:r w:rsidRPr="005F4B00">
        <w:rPr>
          <w:rFonts w:ascii="Arial" w:hAnsi="Arial" w:cs="Arial"/>
          <w:bCs/>
          <w:sz w:val="24"/>
          <w:lang w:val="en-US"/>
        </w:rPr>
        <w:t>facilities;</w:t>
      </w:r>
    </w:p>
    <w:p w14:paraId="7D4CF22F" w14:textId="77777777" w:rsidR="00AD3BAB" w:rsidRPr="005F4B00" w:rsidRDefault="00AD3BAB" w:rsidP="00AD3BAB">
      <w:pPr>
        <w:pStyle w:val="Odstavekseznama"/>
        <w:numPr>
          <w:ilvl w:val="0"/>
          <w:numId w:val="11"/>
        </w:numPr>
        <w:jc w:val="both"/>
        <w:rPr>
          <w:rFonts w:ascii="Arial" w:hAnsi="Arial" w:cs="Arial"/>
          <w:bCs/>
          <w:sz w:val="24"/>
          <w:lang w:val="en-US"/>
        </w:rPr>
      </w:pPr>
      <w:r w:rsidRPr="005F4B00">
        <w:rPr>
          <w:rFonts w:ascii="Arial" w:hAnsi="Arial" w:cs="Arial"/>
          <w:bCs/>
          <w:sz w:val="24"/>
          <w:lang w:val="en-US"/>
        </w:rPr>
        <w:t>Non-hazardous waste from the mentioned offshore facilities;</w:t>
      </w:r>
    </w:p>
    <w:p w14:paraId="0BF3FCFF" w14:textId="77777777" w:rsidR="00AD3BAB" w:rsidRPr="005F4B00" w:rsidRDefault="00AD3BAB" w:rsidP="00AD3BAB">
      <w:pPr>
        <w:pStyle w:val="Odstavekseznama"/>
        <w:numPr>
          <w:ilvl w:val="0"/>
          <w:numId w:val="10"/>
        </w:numPr>
        <w:jc w:val="both"/>
        <w:rPr>
          <w:rFonts w:ascii="Arial" w:hAnsi="Arial" w:cs="Arial"/>
          <w:bCs/>
          <w:sz w:val="24"/>
          <w:lang w:val="en-US"/>
        </w:rPr>
      </w:pPr>
      <w:r w:rsidRPr="005F4B00">
        <w:rPr>
          <w:rFonts w:ascii="Arial" w:hAnsi="Arial" w:cs="Arial"/>
          <w:bCs/>
          <w:sz w:val="24"/>
          <w:lang w:val="en-US"/>
        </w:rPr>
        <w:lastRenderedPageBreak/>
        <w:t xml:space="preserve">Goods exempt from duties under the Vienna Convention on Diplomatic Relations, the Vienna Convention on Consular Relations, other consular conventions, the New York Convention on Special Missions; </w:t>
      </w:r>
    </w:p>
    <w:p w14:paraId="2A3D894C" w14:textId="77777777" w:rsidR="00AD3BAB" w:rsidRPr="005F4B00" w:rsidRDefault="00AD3BAB" w:rsidP="00AD3BAB">
      <w:pPr>
        <w:pStyle w:val="Odstavekseznama"/>
        <w:numPr>
          <w:ilvl w:val="0"/>
          <w:numId w:val="10"/>
        </w:numPr>
        <w:jc w:val="both"/>
        <w:rPr>
          <w:rFonts w:ascii="Arial" w:hAnsi="Arial" w:cs="Arial"/>
          <w:bCs/>
          <w:sz w:val="24"/>
          <w:lang w:val="en-US"/>
        </w:rPr>
      </w:pPr>
      <w:r w:rsidRPr="005F4B00">
        <w:rPr>
          <w:rFonts w:ascii="Arial" w:hAnsi="Arial" w:cs="Arial"/>
          <w:bCs/>
          <w:sz w:val="24"/>
          <w:lang w:val="en-US"/>
        </w:rPr>
        <w:t>The following goods on vessels and aircraft:</w:t>
      </w:r>
    </w:p>
    <w:p w14:paraId="15C8E71A" w14:textId="77777777" w:rsidR="00AD3BAB" w:rsidRPr="005F4B00" w:rsidRDefault="00AD3BAB" w:rsidP="00AD3BAB">
      <w:pPr>
        <w:pStyle w:val="Odstavekseznama"/>
        <w:numPr>
          <w:ilvl w:val="0"/>
          <w:numId w:val="11"/>
        </w:numPr>
        <w:jc w:val="both"/>
        <w:rPr>
          <w:rFonts w:ascii="Arial" w:hAnsi="Arial" w:cs="Arial"/>
          <w:bCs/>
          <w:sz w:val="24"/>
          <w:lang w:val="en-US"/>
        </w:rPr>
      </w:pPr>
      <w:r w:rsidRPr="005F4B00">
        <w:rPr>
          <w:rFonts w:ascii="Arial" w:hAnsi="Arial" w:cs="Arial"/>
          <w:bCs/>
          <w:sz w:val="24"/>
          <w:lang w:val="en-US"/>
        </w:rPr>
        <w:t>Goods supplied as parts or accessories for installation in these vessels or aircraft,</w:t>
      </w:r>
    </w:p>
    <w:p w14:paraId="575696A7" w14:textId="77777777" w:rsidR="00AD3BAB" w:rsidRPr="005F4B00" w:rsidRDefault="00AD3BAB" w:rsidP="00AD3BAB">
      <w:pPr>
        <w:pStyle w:val="Odstavekseznama"/>
        <w:numPr>
          <w:ilvl w:val="0"/>
          <w:numId w:val="11"/>
        </w:numPr>
        <w:jc w:val="both"/>
        <w:rPr>
          <w:rFonts w:ascii="Arial" w:hAnsi="Arial" w:cs="Arial"/>
          <w:bCs/>
          <w:sz w:val="24"/>
          <w:lang w:val="en-US"/>
        </w:rPr>
      </w:pPr>
      <w:r w:rsidRPr="005F4B00">
        <w:rPr>
          <w:rFonts w:ascii="Arial" w:hAnsi="Arial" w:cs="Arial"/>
          <w:bCs/>
          <w:sz w:val="24"/>
          <w:lang w:val="en-US"/>
        </w:rPr>
        <w:t>Goods for the operation of engines, machinery, and other equipment of these vessels or aircraft,</w:t>
      </w:r>
    </w:p>
    <w:p w14:paraId="2FDE6613" w14:textId="77777777" w:rsidR="00AD3BAB" w:rsidRPr="005F4B00" w:rsidRDefault="00AD3BAB" w:rsidP="00AD3BAB">
      <w:pPr>
        <w:pStyle w:val="Odstavekseznama"/>
        <w:numPr>
          <w:ilvl w:val="0"/>
          <w:numId w:val="11"/>
        </w:numPr>
        <w:jc w:val="both"/>
        <w:rPr>
          <w:rFonts w:ascii="Arial" w:hAnsi="Arial" w:cs="Arial"/>
          <w:bCs/>
          <w:sz w:val="24"/>
          <w:lang w:val="en-US"/>
        </w:rPr>
      </w:pPr>
      <w:r w:rsidRPr="005F4B00">
        <w:rPr>
          <w:rFonts w:ascii="Arial" w:hAnsi="Arial" w:cs="Arial"/>
          <w:bCs/>
          <w:sz w:val="24"/>
          <w:lang w:val="en-US"/>
        </w:rPr>
        <w:t xml:space="preserve">Food and other products intended for consumption or sale on board; </w:t>
      </w:r>
    </w:p>
    <w:p w14:paraId="01FEC5D7" w14:textId="77777777" w:rsidR="00AD3BAB" w:rsidRPr="005F4B00" w:rsidRDefault="00AD3BAB" w:rsidP="00AD3BAB">
      <w:pPr>
        <w:pStyle w:val="Odstavekseznama"/>
        <w:numPr>
          <w:ilvl w:val="0"/>
          <w:numId w:val="10"/>
        </w:numPr>
        <w:jc w:val="both"/>
        <w:rPr>
          <w:rFonts w:ascii="Arial" w:hAnsi="Arial" w:cs="Arial"/>
          <w:bCs/>
          <w:sz w:val="24"/>
          <w:lang w:val="en-US"/>
        </w:rPr>
      </w:pPr>
      <w:r w:rsidRPr="005F4B00">
        <w:rPr>
          <w:rFonts w:ascii="Arial" w:hAnsi="Arial" w:cs="Arial"/>
          <w:bCs/>
          <w:sz w:val="24"/>
          <w:lang w:val="en-US"/>
        </w:rPr>
        <w:t xml:space="preserve">Goods entering the customs territory of the Union from Ceuta and Melilla, Gibraltar, Helgoland, the Republic of San Marino, the Vatican City State, or the municipality of Livigno; </w:t>
      </w:r>
    </w:p>
    <w:p w14:paraId="25F881E7" w14:textId="77777777" w:rsidR="00AD3BAB" w:rsidRPr="005F4B00" w:rsidRDefault="00AD3BAB" w:rsidP="00AD3BAB">
      <w:pPr>
        <w:pStyle w:val="Odstavekseznama"/>
        <w:numPr>
          <w:ilvl w:val="0"/>
          <w:numId w:val="10"/>
        </w:numPr>
        <w:jc w:val="both"/>
        <w:rPr>
          <w:rFonts w:ascii="Arial" w:hAnsi="Arial" w:cs="Arial"/>
          <w:bCs/>
          <w:sz w:val="24"/>
          <w:lang w:val="en-US"/>
        </w:rPr>
      </w:pPr>
      <w:r w:rsidRPr="005F4B00">
        <w:rPr>
          <w:rFonts w:ascii="Arial" w:hAnsi="Arial" w:cs="Arial"/>
          <w:bCs/>
          <w:sz w:val="24"/>
          <w:lang w:val="en-US"/>
        </w:rPr>
        <w:t xml:space="preserve">Products of marine fishing and other marine products obtained outside the customs territory of the Union by Union fishing vessels; </w:t>
      </w:r>
    </w:p>
    <w:p w14:paraId="499C489F" w14:textId="77777777" w:rsidR="00AD3BAB" w:rsidRPr="005F4B00" w:rsidRDefault="00AD3BAB" w:rsidP="00AD3BAB">
      <w:pPr>
        <w:pStyle w:val="Odstavekseznama"/>
        <w:numPr>
          <w:ilvl w:val="0"/>
          <w:numId w:val="10"/>
        </w:numPr>
        <w:jc w:val="both"/>
        <w:rPr>
          <w:rFonts w:ascii="Arial" w:hAnsi="Arial" w:cs="Arial"/>
          <w:bCs/>
          <w:sz w:val="24"/>
          <w:lang w:val="en-US"/>
        </w:rPr>
      </w:pPr>
      <w:r w:rsidRPr="005F4B00">
        <w:rPr>
          <w:rFonts w:ascii="Arial" w:hAnsi="Arial" w:cs="Arial"/>
          <w:bCs/>
          <w:sz w:val="24"/>
          <w:lang w:val="en-US"/>
        </w:rPr>
        <w:t xml:space="preserve">Vessels and goods they transport when entering the territorial waters of a Member State solely for the purpose of supply on board, without using any port facilities; </w:t>
      </w:r>
    </w:p>
    <w:p w14:paraId="0B9AD41B" w14:textId="77777777" w:rsidR="00AD3BAB" w:rsidRPr="005F4B00" w:rsidRDefault="00AD3BAB" w:rsidP="00AD3BAB">
      <w:pPr>
        <w:pStyle w:val="Odstavekseznama"/>
        <w:numPr>
          <w:ilvl w:val="0"/>
          <w:numId w:val="10"/>
        </w:numPr>
        <w:jc w:val="both"/>
        <w:rPr>
          <w:rFonts w:ascii="Arial" w:hAnsi="Arial" w:cs="Arial"/>
          <w:bCs/>
          <w:sz w:val="24"/>
          <w:lang w:val="en-US"/>
        </w:rPr>
      </w:pPr>
      <w:r w:rsidRPr="005F4B00">
        <w:rPr>
          <w:rFonts w:ascii="Arial" w:hAnsi="Arial" w:cs="Arial"/>
          <w:bCs/>
          <w:sz w:val="24"/>
          <w:lang w:val="en-US"/>
        </w:rPr>
        <w:t xml:space="preserve">Goods covered by an ATA or CPD carnet, if not transported under a transport contract; </w:t>
      </w:r>
    </w:p>
    <w:p w14:paraId="4DC7C934" w14:textId="77777777" w:rsidR="00AD3BAB" w:rsidRPr="005F4B00" w:rsidRDefault="00AD3BAB" w:rsidP="00AD3BAB">
      <w:pPr>
        <w:pStyle w:val="Odstavekseznama"/>
        <w:numPr>
          <w:ilvl w:val="0"/>
          <w:numId w:val="10"/>
        </w:numPr>
        <w:jc w:val="both"/>
        <w:rPr>
          <w:rFonts w:ascii="Arial" w:hAnsi="Arial" w:cs="Arial"/>
          <w:bCs/>
          <w:sz w:val="24"/>
          <w:lang w:val="en-US"/>
        </w:rPr>
      </w:pPr>
      <w:r w:rsidRPr="005F4B00">
        <w:rPr>
          <w:rFonts w:ascii="Arial" w:hAnsi="Arial" w:cs="Arial"/>
          <w:bCs/>
          <w:sz w:val="24"/>
          <w:lang w:val="en-US"/>
        </w:rPr>
        <w:t>Waste from ships, provided that prior notification of waste under Article 6 of Directive (EU) 2019/883 has been indicated in the national single window for the maritime sector or through other reporting channels acceptable to the competent authorities, including customs.</w:t>
      </w:r>
    </w:p>
    <w:p w14:paraId="7DE3E532" w14:textId="77777777" w:rsidR="007C1370" w:rsidRPr="007C1370" w:rsidRDefault="007C1370" w:rsidP="007C1370">
      <w:pPr>
        <w:jc w:val="both"/>
        <w:rPr>
          <w:rFonts w:cs="Arial"/>
          <w:bCs/>
          <w:sz w:val="24"/>
        </w:rPr>
      </w:pPr>
      <w:r w:rsidRPr="007C1370">
        <w:rPr>
          <w:rFonts w:cs="Arial"/>
          <w:bCs/>
          <w:sz w:val="24"/>
        </w:rPr>
        <w:t>It's also not required to lodge an ENS:</w:t>
      </w:r>
    </w:p>
    <w:p w14:paraId="2B37B12B" w14:textId="77777777" w:rsidR="007C1370" w:rsidRPr="007C1370" w:rsidRDefault="007C1370" w:rsidP="007C1370">
      <w:pPr>
        <w:pStyle w:val="Odstavekseznama"/>
        <w:numPr>
          <w:ilvl w:val="0"/>
          <w:numId w:val="11"/>
        </w:numPr>
        <w:jc w:val="both"/>
        <w:rPr>
          <w:rFonts w:ascii="Arial" w:hAnsi="Arial" w:cs="Arial"/>
          <w:bCs/>
          <w:sz w:val="24"/>
          <w:szCs w:val="24"/>
        </w:rPr>
      </w:pPr>
      <w:r w:rsidRPr="007C1370">
        <w:rPr>
          <w:rFonts w:ascii="Arial" w:hAnsi="Arial" w:cs="Arial"/>
          <w:bCs/>
          <w:sz w:val="24"/>
          <w:szCs w:val="24"/>
        </w:rPr>
        <w:t xml:space="preserve">for means of transport and goods transported on them, which only pass through the territorial waters and airspace of the customs territory of the Union, without stopping there, </w:t>
      </w:r>
    </w:p>
    <w:p w14:paraId="0AEA2E5D" w14:textId="214F3A93" w:rsidR="007C1370" w:rsidRPr="007C1370" w:rsidRDefault="007C1370" w:rsidP="00AD3BAB">
      <w:pPr>
        <w:pStyle w:val="Odstavekseznama"/>
        <w:numPr>
          <w:ilvl w:val="0"/>
          <w:numId w:val="11"/>
        </w:numPr>
        <w:jc w:val="both"/>
        <w:rPr>
          <w:rFonts w:ascii="Arial" w:hAnsi="Arial" w:cs="Arial"/>
          <w:bCs/>
          <w:sz w:val="24"/>
          <w:szCs w:val="24"/>
        </w:rPr>
      </w:pPr>
      <w:r w:rsidRPr="007C1370">
        <w:rPr>
          <w:rFonts w:ascii="Arial" w:hAnsi="Arial" w:cs="Arial"/>
          <w:bCs/>
          <w:sz w:val="24"/>
          <w:szCs w:val="24"/>
        </w:rPr>
        <w:t>in other cases, where this is justified by the nature of the goods or traffic, or where this is required by international agreements.</w:t>
      </w:r>
    </w:p>
    <w:p w14:paraId="2EE20132" w14:textId="510BAA58" w:rsidR="00AD3BAB" w:rsidRDefault="00AD3BAB" w:rsidP="00AD3BAB">
      <w:pPr>
        <w:jc w:val="both"/>
        <w:rPr>
          <w:bCs/>
          <w:sz w:val="24"/>
        </w:rPr>
      </w:pPr>
      <w:r w:rsidRPr="00AD3BAB">
        <w:rPr>
          <w:bCs/>
          <w:sz w:val="24"/>
        </w:rPr>
        <w:t>When the carrier does not have all legally required particulars of the ENS at its disposal, those particulars are to be filed by the person who holds those particulars and did not share them with the carrier. This will eventually enable the carrier to lodge a complete ENS</w:t>
      </w:r>
      <w:r w:rsidR="00C465AE">
        <w:rPr>
          <w:bCs/>
          <w:sz w:val="24"/>
        </w:rPr>
        <w:t>.</w:t>
      </w:r>
    </w:p>
    <w:p w14:paraId="2F54B6A7" w14:textId="77777777" w:rsidR="00C465AE" w:rsidRDefault="00C465AE" w:rsidP="00AD3BAB">
      <w:pPr>
        <w:jc w:val="both"/>
        <w:rPr>
          <w:bCs/>
          <w:sz w:val="24"/>
        </w:rPr>
      </w:pPr>
    </w:p>
    <w:p w14:paraId="5FEFF630" w14:textId="77777777" w:rsidR="00C465AE" w:rsidRPr="005F4B00" w:rsidRDefault="00C465AE" w:rsidP="00C465AE">
      <w:pPr>
        <w:jc w:val="both"/>
        <w:rPr>
          <w:rFonts w:cs="Arial"/>
          <w:bCs/>
          <w:sz w:val="24"/>
        </w:rPr>
      </w:pPr>
      <w:r>
        <w:rPr>
          <w:rFonts w:cs="Arial"/>
          <w:bCs/>
          <w:sz w:val="24"/>
        </w:rPr>
        <w:t>An</w:t>
      </w:r>
      <w:r w:rsidRPr="005F4B00">
        <w:rPr>
          <w:rFonts w:cs="Arial"/>
          <w:bCs/>
          <w:sz w:val="24"/>
        </w:rPr>
        <w:t xml:space="preserve"> ESN is </w:t>
      </w:r>
      <w:r>
        <w:rPr>
          <w:rFonts w:cs="Arial"/>
          <w:bCs/>
          <w:sz w:val="24"/>
        </w:rPr>
        <w:t>lodged</w:t>
      </w:r>
      <w:r w:rsidRPr="005F4B00">
        <w:rPr>
          <w:rFonts w:cs="Arial"/>
          <w:bCs/>
          <w:sz w:val="24"/>
        </w:rPr>
        <w:t xml:space="preserve"> electronically </w:t>
      </w:r>
      <w:r>
        <w:rPr>
          <w:rFonts w:cs="Arial"/>
          <w:bCs/>
          <w:sz w:val="24"/>
        </w:rPr>
        <w:t>by means of data- processing technique at</w:t>
      </w:r>
      <w:r w:rsidRPr="005F4B00">
        <w:rPr>
          <w:rFonts w:cs="Arial"/>
          <w:bCs/>
          <w:sz w:val="24"/>
        </w:rPr>
        <w:t xml:space="preserve"> the customs office of entry</w:t>
      </w:r>
      <w:r>
        <w:rPr>
          <w:rFonts w:cs="Arial"/>
          <w:bCs/>
          <w:sz w:val="24"/>
        </w:rPr>
        <w:t>, by one of the following persons</w:t>
      </w:r>
      <w:r w:rsidRPr="005F4B00">
        <w:rPr>
          <w:rFonts w:cs="Arial"/>
          <w:bCs/>
          <w:sz w:val="24"/>
        </w:rPr>
        <w:t>:</w:t>
      </w:r>
    </w:p>
    <w:p w14:paraId="13C48142" w14:textId="77777777" w:rsidR="00C465AE" w:rsidRPr="005F4B00" w:rsidRDefault="00C465AE" w:rsidP="00C465AE">
      <w:pPr>
        <w:pStyle w:val="Odstavekseznama"/>
        <w:numPr>
          <w:ilvl w:val="0"/>
          <w:numId w:val="11"/>
        </w:numPr>
        <w:jc w:val="both"/>
        <w:rPr>
          <w:rFonts w:ascii="Arial" w:hAnsi="Arial" w:cs="Arial"/>
          <w:bCs/>
          <w:sz w:val="24"/>
          <w:lang w:val="en-US"/>
        </w:rPr>
      </w:pPr>
      <w:r w:rsidRPr="005F4B00">
        <w:rPr>
          <w:rFonts w:ascii="Arial" w:hAnsi="Arial" w:cs="Arial"/>
          <w:bCs/>
          <w:sz w:val="24"/>
          <w:lang w:val="en-US"/>
        </w:rPr>
        <w:t>The carrier</w:t>
      </w:r>
      <w:r>
        <w:rPr>
          <w:rFonts w:ascii="Arial" w:hAnsi="Arial" w:cs="Arial"/>
          <w:bCs/>
          <w:sz w:val="24"/>
          <w:lang w:val="en-US"/>
        </w:rPr>
        <w:t xml:space="preserve"> (the person who bring the goods) or assumes responsibility for the carriage of the goods intro the customs territory of the Community</w:t>
      </w:r>
      <w:r w:rsidRPr="005F4B00">
        <w:rPr>
          <w:rFonts w:ascii="Arial" w:hAnsi="Arial" w:cs="Arial"/>
          <w:bCs/>
          <w:sz w:val="24"/>
          <w:lang w:val="en-US"/>
        </w:rPr>
        <w:t>.</w:t>
      </w:r>
    </w:p>
    <w:p w14:paraId="749F7114" w14:textId="77777777" w:rsidR="00C465AE" w:rsidRPr="005F4B00" w:rsidRDefault="00C465AE" w:rsidP="00C465AE">
      <w:pPr>
        <w:pStyle w:val="Odstavekseznama"/>
        <w:numPr>
          <w:ilvl w:val="0"/>
          <w:numId w:val="11"/>
        </w:numPr>
        <w:jc w:val="both"/>
        <w:rPr>
          <w:rFonts w:ascii="Arial" w:hAnsi="Arial" w:cs="Arial"/>
          <w:bCs/>
          <w:sz w:val="24"/>
          <w:lang w:val="en-US"/>
        </w:rPr>
      </w:pPr>
      <w:r w:rsidRPr="005F4B00">
        <w:rPr>
          <w:rFonts w:ascii="Arial" w:hAnsi="Arial" w:cs="Arial"/>
          <w:bCs/>
          <w:sz w:val="24"/>
          <w:lang w:val="en-US"/>
        </w:rPr>
        <w:t>The importer or consignee or another person on whose behalf or for whose account the carrier operates.</w:t>
      </w:r>
    </w:p>
    <w:p w14:paraId="23C1FDA2" w14:textId="77777777" w:rsidR="00C465AE" w:rsidRPr="00A844DD" w:rsidRDefault="00C465AE" w:rsidP="00AD3BAB">
      <w:pPr>
        <w:pStyle w:val="Odstavekseznama"/>
        <w:numPr>
          <w:ilvl w:val="0"/>
          <w:numId w:val="11"/>
        </w:numPr>
        <w:jc w:val="both"/>
        <w:rPr>
          <w:rFonts w:ascii="Arial" w:hAnsi="Arial" w:cs="Arial"/>
          <w:bCs/>
          <w:sz w:val="24"/>
          <w:lang w:val="en-US"/>
        </w:rPr>
      </w:pPr>
      <w:r w:rsidRPr="005F4B00">
        <w:rPr>
          <w:rFonts w:ascii="Arial" w:hAnsi="Arial" w:cs="Arial"/>
          <w:bCs/>
          <w:sz w:val="24"/>
          <w:lang w:val="en-US"/>
        </w:rPr>
        <w:t xml:space="preserve">Any person who </w:t>
      </w:r>
      <w:r>
        <w:rPr>
          <w:rFonts w:ascii="Arial" w:hAnsi="Arial" w:cs="Arial"/>
          <w:bCs/>
          <w:sz w:val="24"/>
          <w:lang w:val="en-US"/>
        </w:rPr>
        <w:t xml:space="preserve">can </w:t>
      </w:r>
      <w:r w:rsidRPr="005F4B00">
        <w:rPr>
          <w:rFonts w:ascii="Arial" w:hAnsi="Arial" w:cs="Arial"/>
          <w:bCs/>
          <w:sz w:val="24"/>
          <w:lang w:val="en-US"/>
        </w:rPr>
        <w:t xml:space="preserve">present </w:t>
      </w:r>
      <w:r>
        <w:rPr>
          <w:rFonts w:ascii="Arial" w:hAnsi="Arial" w:cs="Arial"/>
          <w:bCs/>
          <w:sz w:val="24"/>
          <w:lang w:val="en-US"/>
        </w:rPr>
        <w:t xml:space="preserve">the </w:t>
      </w:r>
      <w:r w:rsidRPr="005F4B00">
        <w:rPr>
          <w:rFonts w:ascii="Arial" w:hAnsi="Arial" w:cs="Arial"/>
          <w:bCs/>
          <w:sz w:val="24"/>
          <w:lang w:val="en-US"/>
        </w:rPr>
        <w:t>goods</w:t>
      </w:r>
      <w:r>
        <w:rPr>
          <w:rFonts w:ascii="Arial" w:hAnsi="Arial" w:cs="Arial"/>
          <w:bCs/>
          <w:sz w:val="24"/>
          <w:lang w:val="en-US"/>
        </w:rPr>
        <w:t xml:space="preserve"> in question or have them presented.</w:t>
      </w:r>
    </w:p>
    <w:p w14:paraId="642C02F2" w14:textId="77777777" w:rsidR="00626568" w:rsidRDefault="00626568" w:rsidP="00626568">
      <w:pPr>
        <w:jc w:val="both"/>
        <w:rPr>
          <w:rFonts w:cs="Arial"/>
          <w:bCs/>
          <w:sz w:val="24"/>
        </w:rPr>
      </w:pPr>
      <w:r w:rsidRPr="005F4B00">
        <w:rPr>
          <w:rFonts w:cs="Arial"/>
          <w:bCs/>
          <w:sz w:val="24"/>
        </w:rPr>
        <w:t xml:space="preserve">Customs legislation allows </w:t>
      </w:r>
      <w:r>
        <w:rPr>
          <w:rFonts w:cs="Arial"/>
          <w:bCs/>
          <w:sz w:val="24"/>
        </w:rPr>
        <w:t>that a</w:t>
      </w:r>
      <w:r w:rsidRPr="005F4B00">
        <w:rPr>
          <w:rFonts w:cs="Arial"/>
          <w:bCs/>
          <w:sz w:val="24"/>
        </w:rPr>
        <w:t xml:space="preserve"> customs declaration</w:t>
      </w:r>
      <w:r>
        <w:rPr>
          <w:rFonts w:cs="Arial"/>
          <w:bCs/>
          <w:sz w:val="24"/>
        </w:rPr>
        <w:t xml:space="preserve"> is lodged</w:t>
      </w:r>
      <w:r w:rsidRPr="005F4B00">
        <w:rPr>
          <w:rFonts w:cs="Arial"/>
          <w:bCs/>
          <w:sz w:val="24"/>
        </w:rPr>
        <w:t xml:space="preserve"> for a customs procedure</w:t>
      </w:r>
      <w:r>
        <w:rPr>
          <w:rFonts w:cs="Arial"/>
          <w:bCs/>
          <w:sz w:val="24"/>
        </w:rPr>
        <w:t xml:space="preserve"> and</w:t>
      </w:r>
      <w:r w:rsidRPr="005F4B00">
        <w:rPr>
          <w:rFonts w:cs="Arial"/>
          <w:bCs/>
          <w:sz w:val="24"/>
        </w:rPr>
        <w:t xml:space="preserve"> include data for protection and security. In such a case, a </w:t>
      </w:r>
      <w:r w:rsidRPr="005F4B00">
        <w:rPr>
          <w:rFonts w:cs="Arial"/>
          <w:bCs/>
          <w:sz w:val="24"/>
        </w:rPr>
        <w:lastRenderedPageBreak/>
        <w:t xml:space="preserve">separate ESN is not required. However, the customs declaration for the customs procedure must be </w:t>
      </w:r>
      <w:r>
        <w:rPr>
          <w:rFonts w:cs="Arial"/>
          <w:bCs/>
          <w:sz w:val="24"/>
        </w:rPr>
        <w:t>lodged</w:t>
      </w:r>
      <w:r w:rsidRPr="005F4B00">
        <w:rPr>
          <w:rFonts w:cs="Arial"/>
          <w:bCs/>
          <w:sz w:val="24"/>
        </w:rPr>
        <w:t xml:space="preserve"> within the deadlines applicable to the ES</w:t>
      </w:r>
      <w:r>
        <w:rPr>
          <w:rFonts w:cs="Arial"/>
          <w:bCs/>
          <w:sz w:val="24"/>
        </w:rPr>
        <w:t>N</w:t>
      </w:r>
      <w:r w:rsidRPr="005F4B00">
        <w:rPr>
          <w:rFonts w:cs="Arial"/>
          <w:bCs/>
          <w:sz w:val="24"/>
        </w:rPr>
        <w:t>.</w:t>
      </w:r>
    </w:p>
    <w:p w14:paraId="0779E89E" w14:textId="77777777" w:rsidR="00913DDB" w:rsidRPr="000F1443" w:rsidRDefault="00626568" w:rsidP="00626568">
      <w:pPr>
        <w:jc w:val="both"/>
        <w:rPr>
          <w:rFonts w:cs="Arial"/>
          <w:bCs/>
          <w:sz w:val="24"/>
        </w:rPr>
      </w:pPr>
      <w:r>
        <w:rPr>
          <w:rFonts w:cs="Arial"/>
          <w:bCs/>
          <w:sz w:val="24"/>
        </w:rPr>
        <w:t xml:space="preserve">The time limits for lodging an ENS depend on the type of transport. </w:t>
      </w:r>
    </w:p>
    <w:p w14:paraId="6ADD9BAF" w14:textId="77777777" w:rsidR="00913DDB" w:rsidRPr="000907D5" w:rsidRDefault="00913DDB" w:rsidP="00633195">
      <w:pPr>
        <w:pStyle w:val="Naslov1"/>
        <w:numPr>
          <w:ilvl w:val="1"/>
          <w:numId w:val="15"/>
        </w:numPr>
      </w:pPr>
      <w:bookmarkStart w:id="1" w:name="_Toc174015480"/>
      <w:r w:rsidRPr="000907D5">
        <w:rPr>
          <w:rStyle w:val="PodnaslovZnak"/>
          <w:rFonts w:ascii="Arial" w:hAnsi="Arial" w:cs="Arial"/>
          <w:color w:val="auto"/>
          <w:spacing w:val="0"/>
          <w:sz w:val="24"/>
          <w:szCs w:val="24"/>
          <w:lang w:val="sl-SI" w:eastAsia="sl-SI"/>
        </w:rPr>
        <w:t>Maritime traffic</w:t>
      </w:r>
      <w:bookmarkEnd w:id="1"/>
    </w:p>
    <w:p w14:paraId="52AA81CF" w14:textId="77777777" w:rsidR="00913DDB" w:rsidRPr="000F1443" w:rsidRDefault="00913DDB" w:rsidP="00913DDB">
      <w:pPr>
        <w:pStyle w:val="Odstavekseznama"/>
        <w:numPr>
          <w:ilvl w:val="0"/>
          <w:numId w:val="12"/>
        </w:numPr>
        <w:jc w:val="both"/>
        <w:rPr>
          <w:rFonts w:ascii="Arial" w:hAnsi="Arial" w:cs="Arial"/>
          <w:bCs/>
          <w:sz w:val="24"/>
          <w:szCs w:val="24"/>
          <w:lang w:val="en-US"/>
        </w:rPr>
      </w:pPr>
      <w:r w:rsidRPr="000F1443">
        <w:rPr>
          <w:rFonts w:ascii="Arial" w:hAnsi="Arial" w:cs="Arial"/>
          <w:bCs/>
          <w:sz w:val="24"/>
          <w:szCs w:val="24"/>
          <w:lang w:val="en-US"/>
        </w:rPr>
        <w:t xml:space="preserve">For containerized cargo, but excluding containers covered by points (c) or (d): at least 24 hours before loading the goods ate port of departure; </w:t>
      </w:r>
    </w:p>
    <w:p w14:paraId="7242B824" w14:textId="77777777" w:rsidR="00913DDB" w:rsidRPr="003268EE" w:rsidRDefault="00913DDB" w:rsidP="00913DDB">
      <w:pPr>
        <w:pStyle w:val="Odstavekseznama"/>
        <w:numPr>
          <w:ilvl w:val="0"/>
          <w:numId w:val="12"/>
        </w:numPr>
        <w:jc w:val="both"/>
        <w:rPr>
          <w:rFonts w:ascii="Arial" w:hAnsi="Arial" w:cs="Arial"/>
          <w:bCs/>
          <w:sz w:val="24"/>
          <w:lang w:val="en-US"/>
        </w:rPr>
      </w:pPr>
      <w:r w:rsidRPr="000F1443">
        <w:rPr>
          <w:rFonts w:ascii="Arial" w:hAnsi="Arial" w:cs="Arial"/>
          <w:bCs/>
          <w:sz w:val="24"/>
          <w:szCs w:val="24"/>
          <w:lang w:val="en-US"/>
        </w:rPr>
        <w:t>For bulk/break bulk cargo: at least 4 hours before arrival at the first port in the customs territory</w:t>
      </w:r>
      <w:r w:rsidRPr="003268EE">
        <w:rPr>
          <w:rFonts w:ascii="Arial" w:hAnsi="Arial" w:cs="Arial"/>
          <w:bCs/>
          <w:sz w:val="24"/>
          <w:lang w:val="en-US"/>
        </w:rPr>
        <w:t xml:space="preserve"> of the Union, except when points (c) and (d) applies; </w:t>
      </w:r>
    </w:p>
    <w:p w14:paraId="049F2409" w14:textId="77777777" w:rsidR="00913DDB" w:rsidRPr="003268EE" w:rsidRDefault="00913DDB" w:rsidP="00913DDB">
      <w:pPr>
        <w:pStyle w:val="Odstavekseznama"/>
        <w:numPr>
          <w:ilvl w:val="0"/>
          <w:numId w:val="12"/>
        </w:numPr>
        <w:jc w:val="both"/>
        <w:rPr>
          <w:rFonts w:ascii="Arial" w:hAnsi="Arial" w:cs="Arial"/>
          <w:bCs/>
          <w:sz w:val="24"/>
          <w:lang w:val="en-US"/>
        </w:rPr>
      </w:pPr>
      <w:r w:rsidRPr="003268EE">
        <w:rPr>
          <w:rFonts w:ascii="Arial" w:hAnsi="Arial" w:cs="Arial"/>
          <w:bCs/>
          <w:sz w:val="24"/>
          <w:lang w:val="en-US"/>
        </w:rPr>
        <w:t xml:space="preserve">For movement between Greenland, the Faroe Islands, Iceland, ports in the Baltic Sea, the North Sea, the Black Sea, and the Mediterranean Sea, all ports in Morocco, ports in the United Kingdom (excluding ports in Northern Ireland, the Channel Islands, and the Isle of Man), at least 2 hours before arrival at the first port in the customs territory of the Union; </w:t>
      </w:r>
    </w:p>
    <w:p w14:paraId="6836108F" w14:textId="77777777" w:rsidR="00BE6B02" w:rsidRPr="00A844DD" w:rsidRDefault="00913DDB" w:rsidP="00BE6B02">
      <w:pPr>
        <w:pStyle w:val="Odstavekseznama"/>
        <w:numPr>
          <w:ilvl w:val="0"/>
          <w:numId w:val="12"/>
        </w:numPr>
        <w:jc w:val="both"/>
        <w:rPr>
          <w:rFonts w:ascii="Arial" w:hAnsi="Arial" w:cs="Arial"/>
          <w:bCs/>
          <w:sz w:val="24"/>
          <w:lang w:val="en-US"/>
        </w:rPr>
      </w:pPr>
      <w:r w:rsidRPr="003268EE">
        <w:rPr>
          <w:rFonts w:ascii="Arial" w:hAnsi="Arial" w:cs="Arial"/>
          <w:bCs/>
          <w:sz w:val="24"/>
          <w:lang w:val="en-US"/>
        </w:rPr>
        <w:t xml:space="preserve">For movement other than where point (c) applies, between a </w:t>
      </w:r>
      <w:r w:rsidR="003268EE" w:rsidRPr="003268EE">
        <w:rPr>
          <w:rFonts w:ascii="Arial" w:hAnsi="Arial" w:cs="Arial"/>
          <w:bCs/>
          <w:sz w:val="24"/>
          <w:lang w:val="en-US"/>
        </w:rPr>
        <w:t>territory outside</w:t>
      </w:r>
      <w:r w:rsidRPr="003268EE">
        <w:rPr>
          <w:rFonts w:ascii="Arial" w:hAnsi="Arial" w:cs="Arial"/>
          <w:bCs/>
          <w:sz w:val="24"/>
          <w:lang w:val="en-US"/>
        </w:rPr>
        <w:t xml:space="preserve"> the customs territory of the Union and the French overseas departments, the Azores, Madeira, or the Canary Islands, if the duration of the voyage is less than 24 hours: at least 2 hours before arrival at the first port in the customs territory of the Union</w:t>
      </w:r>
      <w:r w:rsidR="003268EE" w:rsidRPr="003268EE">
        <w:rPr>
          <w:rFonts w:ascii="Arial" w:hAnsi="Arial" w:cs="Arial"/>
          <w:bCs/>
          <w:sz w:val="24"/>
          <w:lang w:val="en-US"/>
        </w:rPr>
        <w:t>.</w:t>
      </w:r>
    </w:p>
    <w:p w14:paraId="7D262CFD" w14:textId="77777777" w:rsidR="00BE6B02" w:rsidRPr="000907D5" w:rsidRDefault="00BE6B02" w:rsidP="00633195">
      <w:pPr>
        <w:pStyle w:val="Naslov1"/>
        <w:numPr>
          <w:ilvl w:val="1"/>
          <w:numId w:val="15"/>
        </w:numPr>
        <w:rPr>
          <w:bCs/>
        </w:rPr>
      </w:pPr>
      <w:bookmarkStart w:id="2" w:name="_Toc174015481"/>
      <w:r w:rsidRPr="000907D5">
        <w:rPr>
          <w:bCs/>
        </w:rPr>
        <w:t>Air traffic</w:t>
      </w:r>
      <w:bookmarkEnd w:id="2"/>
    </w:p>
    <w:p w14:paraId="3C98ED75" w14:textId="77777777" w:rsidR="000F1443" w:rsidRPr="000F1443" w:rsidRDefault="000F1443" w:rsidP="00BE6B02">
      <w:pPr>
        <w:jc w:val="both"/>
        <w:rPr>
          <w:rFonts w:cs="Arial"/>
          <w:bCs/>
          <w:sz w:val="24"/>
        </w:rPr>
      </w:pPr>
      <w:r w:rsidRPr="000F1443">
        <w:rPr>
          <w:rFonts w:cs="Arial"/>
          <w:bCs/>
          <w:sz w:val="24"/>
        </w:rPr>
        <w:t>The ENS, or when it is not possible, the minimum data set for air pre-loading, shall be lodged as early as possible but at the latest before the goods are loaded onto the aircraft which will bring them into the customs territory of the Union.</w:t>
      </w:r>
    </w:p>
    <w:p w14:paraId="51DA6B9B" w14:textId="77777777" w:rsidR="00BE6B02" w:rsidRPr="00F370E6" w:rsidRDefault="00BE6B02" w:rsidP="00BE6B02">
      <w:pPr>
        <w:pStyle w:val="Odstavekseznama"/>
        <w:numPr>
          <w:ilvl w:val="0"/>
          <w:numId w:val="13"/>
        </w:numPr>
        <w:jc w:val="both"/>
        <w:rPr>
          <w:rFonts w:ascii="Arial" w:hAnsi="Arial" w:cs="Arial"/>
          <w:bCs/>
          <w:sz w:val="24"/>
          <w:lang w:val="en-US"/>
        </w:rPr>
      </w:pPr>
      <w:r w:rsidRPr="000F1443">
        <w:rPr>
          <w:rFonts w:ascii="Arial" w:hAnsi="Arial" w:cs="Arial"/>
          <w:bCs/>
          <w:sz w:val="24"/>
          <w:szCs w:val="24"/>
          <w:u w:val="single"/>
          <w:lang w:val="en-US"/>
        </w:rPr>
        <w:t>Short-distance</w:t>
      </w:r>
      <w:r w:rsidRPr="00F370E6">
        <w:rPr>
          <w:rFonts w:ascii="Arial" w:hAnsi="Arial" w:cs="Arial"/>
          <w:bCs/>
          <w:sz w:val="24"/>
          <w:u w:val="single"/>
          <w:lang w:val="en-US"/>
        </w:rPr>
        <w:t xml:space="preserve"> flights:</w:t>
      </w:r>
      <w:r w:rsidRPr="00F370E6">
        <w:rPr>
          <w:lang w:val="en-US"/>
        </w:rPr>
        <w:t xml:space="preserve"> </w:t>
      </w:r>
      <w:r w:rsidRPr="00F370E6">
        <w:rPr>
          <w:rFonts w:ascii="Arial" w:hAnsi="Arial" w:cs="Arial"/>
          <w:bCs/>
          <w:sz w:val="24"/>
          <w:lang w:val="en-US"/>
        </w:rPr>
        <w:t xml:space="preserve">the duration of which is less than four hours from the last airport of departure in a third country till arrival at the first airport in the customs territory of the Community: at least by the time of the actual take off of the aircraft; </w:t>
      </w:r>
    </w:p>
    <w:p w14:paraId="435F0BCD" w14:textId="77777777" w:rsidR="00BE6B02" w:rsidRPr="00A844DD" w:rsidRDefault="00BE6B02" w:rsidP="00BE6B02">
      <w:pPr>
        <w:pStyle w:val="Odstavekseznama"/>
        <w:numPr>
          <w:ilvl w:val="0"/>
          <w:numId w:val="13"/>
        </w:numPr>
        <w:jc w:val="both"/>
        <w:rPr>
          <w:rFonts w:ascii="Arial" w:hAnsi="Arial" w:cs="Arial"/>
          <w:bCs/>
          <w:sz w:val="24"/>
          <w:lang w:val="en-US"/>
        </w:rPr>
      </w:pPr>
      <w:r w:rsidRPr="00F370E6">
        <w:rPr>
          <w:rFonts w:ascii="Arial" w:hAnsi="Arial" w:cs="Arial"/>
          <w:bCs/>
          <w:sz w:val="24"/>
          <w:u w:val="single"/>
          <w:lang w:val="en-US"/>
        </w:rPr>
        <w:t>Long-distance flights</w:t>
      </w:r>
      <w:r w:rsidRPr="00F370E6">
        <w:rPr>
          <w:rFonts w:ascii="Arial" w:hAnsi="Arial" w:cs="Arial"/>
          <w:bCs/>
          <w:sz w:val="24"/>
          <w:lang w:val="en-US"/>
        </w:rPr>
        <w:t>: at least 4 hours before arrival at the first airport in the customs territory of the Community.</w:t>
      </w:r>
    </w:p>
    <w:p w14:paraId="30547FEE" w14:textId="77777777" w:rsidR="00BE6B02" w:rsidRPr="000F1443" w:rsidRDefault="00BE6B02" w:rsidP="00633195">
      <w:pPr>
        <w:pStyle w:val="Naslov1"/>
        <w:numPr>
          <w:ilvl w:val="1"/>
          <w:numId w:val="15"/>
        </w:numPr>
        <w:rPr>
          <w:bCs/>
        </w:rPr>
      </w:pPr>
      <w:bookmarkStart w:id="3" w:name="_Toc174015482"/>
      <w:r w:rsidRPr="000F1443">
        <w:t>Rail traffic</w:t>
      </w:r>
      <w:bookmarkEnd w:id="3"/>
    </w:p>
    <w:p w14:paraId="34BC99BD" w14:textId="77777777" w:rsidR="00BE6B02" w:rsidRPr="00BE6B02" w:rsidRDefault="00BE6B02" w:rsidP="00BE6B02">
      <w:pPr>
        <w:pStyle w:val="Odstavekseznama"/>
        <w:numPr>
          <w:ilvl w:val="0"/>
          <w:numId w:val="14"/>
        </w:numPr>
        <w:jc w:val="both"/>
        <w:rPr>
          <w:rFonts w:ascii="Arial" w:hAnsi="Arial" w:cs="Arial"/>
          <w:bCs/>
          <w:sz w:val="24"/>
          <w:lang w:val="en-US"/>
        </w:rPr>
      </w:pPr>
      <w:r w:rsidRPr="000F1443">
        <w:rPr>
          <w:rFonts w:ascii="Arial" w:hAnsi="Arial" w:cs="Arial"/>
          <w:bCs/>
          <w:sz w:val="24"/>
          <w:szCs w:val="24"/>
          <w:lang w:val="en-US"/>
        </w:rPr>
        <w:t>When transport by train from the last marshalling yard in a third country to the customs office of first entry takes less than 2 hours, no later than 1 hour before the arrival of the goods at the place for which the mentioned customs office is responsible</w:t>
      </w:r>
      <w:r w:rsidRPr="00BE6B02">
        <w:rPr>
          <w:rFonts w:ascii="Arial" w:hAnsi="Arial" w:cs="Arial"/>
          <w:bCs/>
          <w:sz w:val="24"/>
          <w:lang w:val="en-US"/>
        </w:rPr>
        <w:t xml:space="preserve">, </w:t>
      </w:r>
    </w:p>
    <w:p w14:paraId="4262BE0D" w14:textId="77777777" w:rsidR="00BE6B02" w:rsidRPr="00A844DD" w:rsidRDefault="00BE6B02" w:rsidP="000907D5">
      <w:pPr>
        <w:pStyle w:val="Odstavekseznama"/>
        <w:numPr>
          <w:ilvl w:val="0"/>
          <w:numId w:val="14"/>
        </w:numPr>
        <w:jc w:val="both"/>
        <w:rPr>
          <w:rFonts w:ascii="Arial" w:hAnsi="Arial" w:cs="Arial"/>
          <w:bCs/>
          <w:sz w:val="24"/>
          <w:lang w:val="en-US"/>
        </w:rPr>
      </w:pPr>
      <w:r w:rsidRPr="00BE6B02">
        <w:rPr>
          <w:rFonts w:ascii="Arial" w:hAnsi="Arial" w:cs="Arial"/>
          <w:bCs/>
          <w:sz w:val="24"/>
          <w:lang w:val="en-US"/>
        </w:rPr>
        <w:t>In all other cases, no later than 2 hours before the arrival of the goods at the place for which the customs office of first entry is responsible.</w:t>
      </w:r>
    </w:p>
    <w:p w14:paraId="6121E31E" w14:textId="77777777" w:rsidR="00BE6B02" w:rsidRPr="000907D5" w:rsidRDefault="00BE6B02" w:rsidP="00633195">
      <w:pPr>
        <w:pStyle w:val="Naslov1"/>
        <w:numPr>
          <w:ilvl w:val="1"/>
          <w:numId w:val="15"/>
        </w:numPr>
      </w:pPr>
      <w:bookmarkStart w:id="4" w:name="_Toc174015483"/>
      <w:r w:rsidRPr="000907D5">
        <w:t>Road traffic</w:t>
      </w:r>
      <w:bookmarkEnd w:id="4"/>
    </w:p>
    <w:p w14:paraId="6C12F367" w14:textId="77777777" w:rsidR="00BE6B02" w:rsidRPr="000F1443" w:rsidRDefault="00BE6B02" w:rsidP="00BE6B02">
      <w:pPr>
        <w:jc w:val="both"/>
        <w:rPr>
          <w:bCs/>
          <w:sz w:val="24"/>
        </w:rPr>
      </w:pPr>
      <w:r w:rsidRPr="000F1443">
        <w:rPr>
          <w:bCs/>
          <w:sz w:val="24"/>
        </w:rPr>
        <w:t>At least one hour prior to arrival at the customs office of entry in the customs territory of the Community.</w:t>
      </w:r>
    </w:p>
    <w:p w14:paraId="2E1099C6" w14:textId="77777777" w:rsidR="00BE6B02" w:rsidRPr="000F1443" w:rsidRDefault="00BE6B02" w:rsidP="00BE6B02">
      <w:pPr>
        <w:jc w:val="both"/>
        <w:rPr>
          <w:bCs/>
          <w:sz w:val="24"/>
        </w:rPr>
      </w:pPr>
    </w:p>
    <w:p w14:paraId="4DE81560" w14:textId="77777777" w:rsidR="00BE6B02" w:rsidRPr="000907D5" w:rsidRDefault="00BE6B02" w:rsidP="00633195">
      <w:pPr>
        <w:pStyle w:val="Naslov1"/>
        <w:numPr>
          <w:ilvl w:val="1"/>
          <w:numId w:val="15"/>
        </w:numPr>
      </w:pPr>
      <w:bookmarkStart w:id="5" w:name="_Toc174015484"/>
      <w:r w:rsidRPr="000907D5">
        <w:lastRenderedPageBreak/>
        <w:t>Inland water traffic</w:t>
      </w:r>
      <w:bookmarkEnd w:id="5"/>
    </w:p>
    <w:p w14:paraId="5B88D28C" w14:textId="77777777" w:rsidR="005120C9" w:rsidRPr="000F1443" w:rsidRDefault="00BE6B02" w:rsidP="005120C9">
      <w:pPr>
        <w:jc w:val="both"/>
        <w:rPr>
          <w:bCs/>
          <w:sz w:val="24"/>
        </w:rPr>
      </w:pPr>
      <w:r>
        <w:rPr>
          <w:bCs/>
          <w:sz w:val="24"/>
        </w:rPr>
        <w:t>A</w:t>
      </w:r>
      <w:r w:rsidRPr="00D053E0">
        <w:rPr>
          <w:bCs/>
          <w:sz w:val="24"/>
        </w:rPr>
        <w:t>t least two hours before arrival at the customs office of entry in the customs territory of the Community</w:t>
      </w:r>
      <w:r>
        <w:rPr>
          <w:bCs/>
          <w:sz w:val="24"/>
        </w:rPr>
        <w:t>.</w:t>
      </w:r>
    </w:p>
    <w:sectPr w:rsidR="005120C9" w:rsidRPr="000F1443" w:rsidSect="00783310">
      <w:headerReference w:type="default"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642F" w14:textId="77777777" w:rsidR="002612B2" w:rsidRDefault="002612B2">
      <w:r>
        <w:separator/>
      </w:r>
    </w:p>
  </w:endnote>
  <w:endnote w:type="continuationSeparator" w:id="0">
    <w:p w14:paraId="36C95374" w14:textId="77777777" w:rsidR="002612B2" w:rsidRDefault="0026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151D" w14:textId="77777777" w:rsidR="002819A6" w:rsidRDefault="002819A6" w:rsidP="002819A6">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062B62">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062B62">
      <w:rPr>
        <w:rFonts w:cs="Arial"/>
        <w:noProof/>
        <w:sz w:val="16"/>
      </w:rPr>
      <w:t>6</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503F" w14:textId="77777777" w:rsidR="002819A6" w:rsidRDefault="002819A6" w:rsidP="002819A6">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062B62">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062B62">
      <w:rPr>
        <w:rFonts w:cs="Arial"/>
        <w:noProof/>
        <w:sz w:val="16"/>
      </w:rPr>
      <w:t>6</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D196" w14:textId="77777777" w:rsidR="002612B2" w:rsidRDefault="002612B2">
      <w:r>
        <w:separator/>
      </w:r>
    </w:p>
  </w:footnote>
  <w:footnote w:type="continuationSeparator" w:id="0">
    <w:p w14:paraId="54ADA92B" w14:textId="77777777" w:rsidR="002612B2" w:rsidRDefault="00261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9B70" w14:textId="77777777" w:rsidR="000D3F38" w:rsidRPr="00110CBD" w:rsidRDefault="000D3F3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D3F38" w:rsidRPr="008F3500" w14:paraId="63AB4E3A" w14:textId="77777777">
      <w:trPr>
        <w:cantSplit/>
        <w:trHeight w:hRule="exact" w:val="847"/>
      </w:trPr>
      <w:tc>
        <w:tcPr>
          <w:tcW w:w="567" w:type="dxa"/>
        </w:tcPr>
        <w:p w14:paraId="1E37F47E" w14:textId="77777777" w:rsidR="000D3F38" w:rsidRPr="008F3500" w:rsidRDefault="000D3F38"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tc>
    </w:tr>
  </w:tbl>
  <w:p w14:paraId="3DE4F9B6" w14:textId="77777777" w:rsidR="000D3F38" w:rsidRPr="008F3500" w:rsidRDefault="000234D4"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1C13654E" wp14:editId="2F221710">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AED7F"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D3F38" w:rsidRPr="008F3500">
      <w:rPr>
        <w:rFonts w:ascii="Republika" w:hAnsi="Republika"/>
        <w:lang w:val="sl-SI"/>
      </w:rPr>
      <w:t>REPUBLI</w:t>
    </w:r>
    <w:r w:rsidR="000D3F38">
      <w:rPr>
        <w:rFonts w:ascii="Republika" w:hAnsi="Republika"/>
        <w:lang w:val="sl-SI"/>
      </w:rPr>
      <w:t>C OF SLOVENI</w:t>
    </w:r>
    <w:r w:rsidR="000D3F38" w:rsidRPr="008F3500">
      <w:rPr>
        <w:rFonts w:ascii="Republika" w:hAnsi="Republika"/>
        <w:lang w:val="sl-SI"/>
      </w:rPr>
      <w:t>A</w:t>
    </w:r>
  </w:p>
  <w:p w14:paraId="144C9183" w14:textId="77777777" w:rsidR="000D3F38" w:rsidRPr="00CA21A5" w:rsidRDefault="00FF5E88" w:rsidP="00924E3C">
    <w:pPr>
      <w:pStyle w:val="Glava"/>
      <w:tabs>
        <w:tab w:val="clear" w:pos="4320"/>
        <w:tab w:val="clear" w:pos="8640"/>
        <w:tab w:val="left" w:pos="5112"/>
      </w:tabs>
      <w:spacing w:after="120" w:line="240" w:lineRule="exact"/>
      <w:rPr>
        <w:rFonts w:ascii="Republika" w:hAnsi="Republika"/>
        <w:b/>
        <w:caps/>
        <w:lang w:val="sl-SI"/>
      </w:rPr>
    </w:pPr>
    <w:r w:rsidRPr="00CA21A5">
      <w:rPr>
        <w:rFonts w:ascii="Republika" w:hAnsi="Republika"/>
        <w:b/>
        <w:caps/>
        <w:lang w:val="sl-SI"/>
      </w:rPr>
      <w:t>Ministry of Finance</w:t>
    </w:r>
  </w:p>
  <w:p w14:paraId="587712A0" w14:textId="77777777" w:rsidR="00961A8A" w:rsidRDefault="00C7408E" w:rsidP="00961A8A">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FINANCIAL</w:t>
    </w:r>
    <w:r w:rsidR="00FF5E88">
      <w:rPr>
        <w:rFonts w:ascii="Republika" w:hAnsi="Republika"/>
        <w:caps/>
        <w:lang w:val="sl-SI"/>
      </w:rPr>
      <w:t xml:space="preserve"> Administration of the Republic of Slovenia</w:t>
    </w:r>
  </w:p>
  <w:p w14:paraId="6B125B44" w14:textId="77777777" w:rsidR="002169BB" w:rsidRPr="00273153" w:rsidRDefault="00B34C76" w:rsidP="002169BB">
    <w:pPr>
      <w:pStyle w:val="Glava"/>
      <w:tabs>
        <w:tab w:val="clear" w:pos="4320"/>
        <w:tab w:val="clear" w:pos="8640"/>
        <w:tab w:val="left" w:pos="5112"/>
      </w:tabs>
      <w:spacing w:before="120" w:line="240" w:lineRule="exact"/>
      <w:rPr>
        <w:rFonts w:ascii="Republika" w:hAnsi="Republika"/>
        <w:caps/>
        <w:lang w:val="it-IT"/>
      </w:rPr>
    </w:pPr>
    <w:r w:rsidRPr="00273153">
      <w:rPr>
        <w:rFonts w:ascii="Republika" w:hAnsi="Republika"/>
        <w:lang w:val="it-IT"/>
      </w:rPr>
      <w:t>General Financial</w:t>
    </w:r>
    <w:r w:rsidR="002169BB" w:rsidRPr="00273153">
      <w:rPr>
        <w:rFonts w:ascii="Republika" w:hAnsi="Republika"/>
        <w:lang w:val="it-IT"/>
      </w:rPr>
      <w:t xml:space="preserve"> </w:t>
    </w:r>
    <w:r w:rsidR="00435890" w:rsidRPr="00273153">
      <w:rPr>
        <w:rFonts w:ascii="Republika" w:hAnsi="Republika"/>
        <w:lang w:val="it-IT"/>
      </w:rPr>
      <w:t>Office</w:t>
    </w:r>
  </w:p>
  <w:p w14:paraId="3A44230F" w14:textId="77777777" w:rsidR="002169BB" w:rsidRPr="008F3500" w:rsidRDefault="00435890" w:rsidP="002169BB">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PO Box</w:t>
    </w:r>
    <w:r w:rsidR="002169BB">
      <w:rPr>
        <w:rFonts w:cs="Arial"/>
        <w:sz w:val="16"/>
        <w:lang w:val="sl-SI"/>
      </w:rPr>
      <w:t xml:space="preserve"> 631</w:t>
    </w:r>
    <w:r w:rsidR="002169BB" w:rsidRPr="008F3500">
      <w:rPr>
        <w:rFonts w:cs="Arial"/>
        <w:sz w:val="16"/>
        <w:lang w:val="sl-SI"/>
      </w:rPr>
      <w:t xml:space="preserve">, </w:t>
    </w:r>
    <w:r>
      <w:rPr>
        <w:rFonts w:cs="Arial"/>
        <w:sz w:val="16"/>
        <w:lang w:val="sl-SI"/>
      </w:rPr>
      <w:t>SI-</w:t>
    </w:r>
    <w:r w:rsidR="002169BB">
      <w:rPr>
        <w:rFonts w:cs="Arial"/>
        <w:sz w:val="16"/>
        <w:lang w:val="sl-SI"/>
      </w:rPr>
      <w:t>1001 Ljubljana</w:t>
    </w:r>
    <w:r>
      <w:rPr>
        <w:rFonts w:cs="Arial"/>
        <w:sz w:val="16"/>
        <w:lang w:val="sl-SI"/>
      </w:rPr>
      <w:t>, Slovenia</w:t>
    </w:r>
    <w:r w:rsidR="002169BB" w:rsidRPr="008F3500">
      <w:rPr>
        <w:rFonts w:cs="Arial"/>
        <w:sz w:val="16"/>
        <w:lang w:val="sl-SI"/>
      </w:rPr>
      <w:tab/>
      <w:t xml:space="preserve">T: </w:t>
    </w:r>
    <w:r w:rsidR="001B42D8" w:rsidRPr="001B42D8">
      <w:rPr>
        <w:rFonts w:cs="Arial"/>
        <w:sz w:val="16"/>
        <w:lang w:val="sl-SI"/>
      </w:rPr>
      <w:t xml:space="preserve">+386 1 478 </w:t>
    </w:r>
    <w:r w:rsidR="001B42D8">
      <w:rPr>
        <w:rFonts w:cs="Arial"/>
        <w:sz w:val="16"/>
        <w:lang w:val="sl-SI"/>
      </w:rPr>
      <w:t>38</w:t>
    </w:r>
    <w:r w:rsidR="001B42D8" w:rsidRPr="001B42D8">
      <w:rPr>
        <w:rFonts w:cs="Arial"/>
        <w:sz w:val="16"/>
        <w:lang w:val="sl-SI"/>
      </w:rPr>
      <w:t xml:space="preserve"> 00</w:t>
    </w:r>
  </w:p>
  <w:p w14:paraId="6301CAE4" w14:textId="77777777" w:rsidR="002169BB" w:rsidRPr="008F3500" w:rsidRDefault="002169BB" w:rsidP="002169B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B42D8" w:rsidRPr="001B42D8">
      <w:rPr>
        <w:rFonts w:cs="Arial"/>
        <w:sz w:val="16"/>
        <w:lang w:val="sl-SI"/>
      </w:rPr>
      <w:t xml:space="preserve">+386 1 478 </w:t>
    </w:r>
    <w:r w:rsidR="001B42D8">
      <w:rPr>
        <w:rFonts w:cs="Arial"/>
        <w:sz w:val="16"/>
        <w:lang w:val="sl-SI"/>
      </w:rPr>
      <w:t>39</w:t>
    </w:r>
    <w:r w:rsidR="001B42D8" w:rsidRPr="001B42D8">
      <w:rPr>
        <w:rFonts w:cs="Arial"/>
        <w:sz w:val="16"/>
        <w:lang w:val="sl-SI"/>
      </w:rPr>
      <w:t xml:space="preserve"> 00</w:t>
    </w:r>
  </w:p>
  <w:p w14:paraId="56D181DD" w14:textId="77777777" w:rsidR="002169BB" w:rsidRPr="008F3500" w:rsidRDefault="002169BB" w:rsidP="002169B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B42D8">
      <w:rPr>
        <w:rFonts w:cs="Arial"/>
        <w:sz w:val="16"/>
        <w:lang w:val="sl-SI"/>
      </w:rPr>
      <w:t>gfu.fu</w:t>
    </w:r>
    <w:r>
      <w:rPr>
        <w:rFonts w:cs="Arial"/>
        <w:sz w:val="16"/>
        <w:lang w:val="sl-SI"/>
      </w:rPr>
      <w:t>@gov.si</w:t>
    </w:r>
  </w:p>
  <w:p w14:paraId="3E6FF0D9" w14:textId="77777777" w:rsidR="002169BB" w:rsidRPr="008F3500" w:rsidRDefault="002169BB" w:rsidP="002169B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B42D8">
      <w:rPr>
        <w:rFonts w:cs="Arial"/>
        <w:sz w:val="16"/>
        <w:lang w:val="sl-SI"/>
      </w:rPr>
      <w:t>www.fu</w:t>
    </w:r>
    <w:r>
      <w:rPr>
        <w:rFonts w:cs="Arial"/>
        <w:sz w:val="16"/>
        <w:lang w:val="sl-SI"/>
      </w:rPr>
      <w:t>.gov.si</w:t>
    </w:r>
  </w:p>
  <w:p w14:paraId="67778E72" w14:textId="77777777" w:rsidR="000D3F38" w:rsidRPr="008F3500" w:rsidRDefault="000D3F38" w:rsidP="002169BB">
    <w:pPr>
      <w:pStyle w:val="Glava"/>
      <w:tabs>
        <w:tab w:val="clear" w:pos="4320"/>
        <w:tab w:val="clear" w:pos="8640"/>
        <w:tab w:val="left" w:pos="5112"/>
      </w:tabs>
      <w:spacing w:before="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3301C23"/>
    <w:multiLevelType w:val="hybridMultilevel"/>
    <w:tmpl w:val="46B4FCAC"/>
    <w:lvl w:ilvl="0" w:tplc="8FAC586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E3C640A"/>
    <w:multiLevelType w:val="hybridMultilevel"/>
    <w:tmpl w:val="8F8ECDCA"/>
    <w:lvl w:ilvl="0" w:tplc="3E5A6BD0">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AD1733"/>
    <w:multiLevelType w:val="multilevel"/>
    <w:tmpl w:val="471ED30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440" w:hanging="108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800" w:hanging="144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2160" w:hanging="1800"/>
      </w:pPr>
      <w:rPr>
        <w:rFonts w:eastAsiaTheme="minorEastAsia" w:hint="default"/>
      </w:rPr>
    </w:lvl>
    <w:lvl w:ilvl="8">
      <w:start w:val="1"/>
      <w:numFmt w:val="decimal"/>
      <w:isLgl/>
      <w:lvlText w:val="%1.%2.%3.%4.%5.%6.%7.%8.%9."/>
      <w:lvlJc w:val="left"/>
      <w:pPr>
        <w:ind w:left="2520" w:hanging="2160"/>
      </w:pPr>
      <w:rPr>
        <w:rFonts w:eastAsiaTheme="minorEastAsia" w:hint="default"/>
      </w:rPr>
    </w:lvl>
  </w:abstractNum>
  <w:abstractNum w:abstractNumId="6" w15:restartNumberingAfterBreak="0">
    <w:nsid w:val="3EE87F13"/>
    <w:multiLevelType w:val="hybridMultilevel"/>
    <w:tmpl w:val="B74086C8"/>
    <w:lvl w:ilvl="0" w:tplc="45B0CE1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D5017E"/>
    <w:multiLevelType w:val="hybridMultilevel"/>
    <w:tmpl w:val="5C5A6914"/>
    <w:lvl w:ilvl="0" w:tplc="8F007C0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601708C"/>
    <w:multiLevelType w:val="hybridMultilevel"/>
    <w:tmpl w:val="AC70CE0E"/>
    <w:lvl w:ilvl="0" w:tplc="2C3423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DA02A5"/>
    <w:multiLevelType w:val="hybridMultilevel"/>
    <w:tmpl w:val="23CCBF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A4A69FE"/>
    <w:multiLevelType w:val="hybridMultilevel"/>
    <w:tmpl w:val="FEFEDF78"/>
    <w:lvl w:ilvl="0" w:tplc="882683AE">
      <w:start w:val="1"/>
      <w:numFmt w:val="lowerLetter"/>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8B1B24"/>
    <w:multiLevelType w:val="hybridMultilevel"/>
    <w:tmpl w:val="CEA4E28C"/>
    <w:lvl w:ilvl="0" w:tplc="C6786A7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9614C9C"/>
    <w:multiLevelType w:val="multilevel"/>
    <w:tmpl w:val="24D0ABD0"/>
    <w:lvl w:ilvl="0">
      <w:start w:val="1"/>
      <w:numFmt w:val="decimal"/>
      <w:lvlText w:val="%1"/>
      <w:lvlJc w:val="left"/>
      <w:pPr>
        <w:ind w:left="405" w:hanging="405"/>
      </w:pPr>
      <w:rPr>
        <w:rFonts w:ascii="Arial" w:hAnsi="Arial" w:cs="Arial"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40996973">
    <w:abstractNumId w:val="9"/>
  </w:num>
  <w:num w:numId="2" w16cid:durableId="1216896331">
    <w:abstractNumId w:val="3"/>
  </w:num>
  <w:num w:numId="3" w16cid:durableId="2133015503">
    <w:abstractNumId w:val="7"/>
  </w:num>
  <w:num w:numId="4" w16cid:durableId="1539732982">
    <w:abstractNumId w:val="0"/>
  </w:num>
  <w:num w:numId="5" w16cid:durableId="1936817582">
    <w:abstractNumId w:val="1"/>
  </w:num>
  <w:num w:numId="6" w16cid:durableId="1385908453">
    <w:abstractNumId w:val="13"/>
  </w:num>
  <w:num w:numId="7" w16cid:durableId="1457064124">
    <w:abstractNumId w:val="14"/>
  </w:num>
  <w:num w:numId="8" w16cid:durableId="2069570752">
    <w:abstractNumId w:val="10"/>
  </w:num>
  <w:num w:numId="9" w16cid:durableId="1924755488">
    <w:abstractNumId w:val="11"/>
  </w:num>
  <w:num w:numId="10" w16cid:durableId="1966158121">
    <w:abstractNumId w:val="6"/>
  </w:num>
  <w:num w:numId="11" w16cid:durableId="1869755574">
    <w:abstractNumId w:val="4"/>
  </w:num>
  <w:num w:numId="12" w16cid:durableId="277221365">
    <w:abstractNumId w:val="8"/>
  </w:num>
  <w:num w:numId="13" w16cid:durableId="917057033">
    <w:abstractNumId w:val="12"/>
  </w:num>
  <w:num w:numId="14" w16cid:durableId="1788114385">
    <w:abstractNumId w:val="2"/>
  </w:num>
  <w:num w:numId="15" w16cid:durableId="1784229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4D4"/>
    <w:rsid w:val="000234D4"/>
    <w:rsid w:val="00023A88"/>
    <w:rsid w:val="00030C8C"/>
    <w:rsid w:val="00047166"/>
    <w:rsid w:val="00052424"/>
    <w:rsid w:val="00062B62"/>
    <w:rsid w:val="000907D5"/>
    <w:rsid w:val="000A7238"/>
    <w:rsid w:val="000D3F38"/>
    <w:rsid w:val="000E2D1E"/>
    <w:rsid w:val="000F1443"/>
    <w:rsid w:val="001022BE"/>
    <w:rsid w:val="001357B2"/>
    <w:rsid w:val="001659C2"/>
    <w:rsid w:val="00166ACE"/>
    <w:rsid w:val="00172821"/>
    <w:rsid w:val="001840EE"/>
    <w:rsid w:val="00187141"/>
    <w:rsid w:val="001B42D8"/>
    <w:rsid w:val="001D2BDE"/>
    <w:rsid w:val="001E510D"/>
    <w:rsid w:val="00202A77"/>
    <w:rsid w:val="002169BB"/>
    <w:rsid w:val="002257C8"/>
    <w:rsid w:val="002612B2"/>
    <w:rsid w:val="00271CE5"/>
    <w:rsid w:val="00273153"/>
    <w:rsid w:val="002819A6"/>
    <w:rsid w:val="00282020"/>
    <w:rsid w:val="00284AC0"/>
    <w:rsid w:val="002B1552"/>
    <w:rsid w:val="002B7196"/>
    <w:rsid w:val="002E6895"/>
    <w:rsid w:val="003051A6"/>
    <w:rsid w:val="003268EE"/>
    <w:rsid w:val="003278F4"/>
    <w:rsid w:val="003636BF"/>
    <w:rsid w:val="003822EB"/>
    <w:rsid w:val="003845B4"/>
    <w:rsid w:val="00387B1A"/>
    <w:rsid w:val="003A7960"/>
    <w:rsid w:val="003D78AE"/>
    <w:rsid w:val="003E1C74"/>
    <w:rsid w:val="003E20FB"/>
    <w:rsid w:val="00435890"/>
    <w:rsid w:val="00467D30"/>
    <w:rsid w:val="00484A9A"/>
    <w:rsid w:val="00491E7A"/>
    <w:rsid w:val="004E7D72"/>
    <w:rsid w:val="004F3133"/>
    <w:rsid w:val="005120C9"/>
    <w:rsid w:val="00526246"/>
    <w:rsid w:val="00567106"/>
    <w:rsid w:val="00572122"/>
    <w:rsid w:val="005760AD"/>
    <w:rsid w:val="005E1D3C"/>
    <w:rsid w:val="005F0A8A"/>
    <w:rsid w:val="005F4B00"/>
    <w:rsid w:val="00626568"/>
    <w:rsid w:val="00632253"/>
    <w:rsid w:val="00633195"/>
    <w:rsid w:val="00634DD0"/>
    <w:rsid w:val="00642714"/>
    <w:rsid w:val="006455CE"/>
    <w:rsid w:val="006623F1"/>
    <w:rsid w:val="00686224"/>
    <w:rsid w:val="00733017"/>
    <w:rsid w:val="00747C0D"/>
    <w:rsid w:val="00760FDD"/>
    <w:rsid w:val="00783310"/>
    <w:rsid w:val="007A2134"/>
    <w:rsid w:val="007A4A6D"/>
    <w:rsid w:val="007B66F8"/>
    <w:rsid w:val="007C1370"/>
    <w:rsid w:val="007D1BCF"/>
    <w:rsid w:val="007D6AE6"/>
    <w:rsid w:val="007D75CF"/>
    <w:rsid w:val="007E47FF"/>
    <w:rsid w:val="007E6DC5"/>
    <w:rsid w:val="00824004"/>
    <w:rsid w:val="00841AE1"/>
    <w:rsid w:val="00852EA7"/>
    <w:rsid w:val="0088043C"/>
    <w:rsid w:val="008810E1"/>
    <w:rsid w:val="008906C9"/>
    <w:rsid w:val="008A26F6"/>
    <w:rsid w:val="008C1493"/>
    <w:rsid w:val="008C5738"/>
    <w:rsid w:val="008C77CC"/>
    <w:rsid w:val="008D011C"/>
    <w:rsid w:val="008D04F0"/>
    <w:rsid w:val="008D0A21"/>
    <w:rsid w:val="008F3500"/>
    <w:rsid w:val="00913DDB"/>
    <w:rsid w:val="00924E3C"/>
    <w:rsid w:val="00940D51"/>
    <w:rsid w:val="009606A3"/>
    <w:rsid w:val="009612BB"/>
    <w:rsid w:val="00961A8A"/>
    <w:rsid w:val="009D3948"/>
    <w:rsid w:val="009E093E"/>
    <w:rsid w:val="00A125C5"/>
    <w:rsid w:val="00A17048"/>
    <w:rsid w:val="00A437C2"/>
    <w:rsid w:val="00A5039D"/>
    <w:rsid w:val="00A5501F"/>
    <w:rsid w:val="00A65EE7"/>
    <w:rsid w:val="00A70133"/>
    <w:rsid w:val="00A77304"/>
    <w:rsid w:val="00A844DD"/>
    <w:rsid w:val="00A9352A"/>
    <w:rsid w:val="00AD3BAB"/>
    <w:rsid w:val="00B032ED"/>
    <w:rsid w:val="00B17141"/>
    <w:rsid w:val="00B31575"/>
    <w:rsid w:val="00B34C76"/>
    <w:rsid w:val="00B43158"/>
    <w:rsid w:val="00B447DF"/>
    <w:rsid w:val="00B561D8"/>
    <w:rsid w:val="00B8547D"/>
    <w:rsid w:val="00BA5A24"/>
    <w:rsid w:val="00BE6B02"/>
    <w:rsid w:val="00C250D5"/>
    <w:rsid w:val="00C34CA3"/>
    <w:rsid w:val="00C40CD5"/>
    <w:rsid w:val="00C465AE"/>
    <w:rsid w:val="00C7408E"/>
    <w:rsid w:val="00C92898"/>
    <w:rsid w:val="00C9591F"/>
    <w:rsid w:val="00CA21A5"/>
    <w:rsid w:val="00CA2EAC"/>
    <w:rsid w:val="00CE7514"/>
    <w:rsid w:val="00CF20E8"/>
    <w:rsid w:val="00CF35AC"/>
    <w:rsid w:val="00D053E0"/>
    <w:rsid w:val="00D248DE"/>
    <w:rsid w:val="00D36795"/>
    <w:rsid w:val="00D42820"/>
    <w:rsid w:val="00D8542D"/>
    <w:rsid w:val="00DC6A71"/>
    <w:rsid w:val="00DE48AE"/>
    <w:rsid w:val="00DE5B46"/>
    <w:rsid w:val="00E0357D"/>
    <w:rsid w:val="00E303B1"/>
    <w:rsid w:val="00E41EC1"/>
    <w:rsid w:val="00E4337B"/>
    <w:rsid w:val="00E54428"/>
    <w:rsid w:val="00E755E9"/>
    <w:rsid w:val="00E8415E"/>
    <w:rsid w:val="00EA71C3"/>
    <w:rsid w:val="00EC1391"/>
    <w:rsid w:val="00F038A5"/>
    <w:rsid w:val="00F12B03"/>
    <w:rsid w:val="00F240BB"/>
    <w:rsid w:val="00F2548F"/>
    <w:rsid w:val="00F361D8"/>
    <w:rsid w:val="00F370E6"/>
    <w:rsid w:val="00F52594"/>
    <w:rsid w:val="00F526D9"/>
    <w:rsid w:val="00F57FED"/>
    <w:rsid w:val="00FA7545"/>
    <w:rsid w:val="00FC0BEE"/>
    <w:rsid w:val="00FC6EE0"/>
    <w:rsid w:val="00FD2219"/>
    <w:rsid w:val="00FE7E39"/>
    <w:rsid w:val="00FF5E8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B3F291F"/>
  <w15:docId w15:val="{C5507A6E-2068-4CFD-B989-DD85ED24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0907D5"/>
    <w:pPr>
      <w:keepNext/>
      <w:spacing w:before="240" w:after="60"/>
      <w:outlineLvl w:val="0"/>
    </w:pPr>
    <w:rPr>
      <w:rFonts w:cs="Arial"/>
      <w:b/>
      <w:kern w:val="32"/>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73153"/>
    <w:pPr>
      <w:spacing w:after="160" w:line="259" w:lineRule="auto"/>
      <w:ind w:left="720"/>
      <w:contextualSpacing/>
    </w:pPr>
    <w:rPr>
      <w:rFonts w:asciiTheme="minorHAnsi" w:eastAsiaTheme="minorHAnsi" w:hAnsiTheme="minorHAnsi" w:cstheme="minorBidi"/>
      <w:kern w:val="2"/>
      <w:sz w:val="22"/>
      <w:szCs w:val="22"/>
      <w:lang w:val="sl-SI"/>
      <w14:ligatures w14:val="standardContextual"/>
    </w:rPr>
  </w:style>
  <w:style w:type="character" w:styleId="Besedilooznabemesta">
    <w:name w:val="Placeholder Text"/>
    <w:basedOn w:val="Privzetapisavaodstavka"/>
    <w:uiPriority w:val="99"/>
    <w:semiHidden/>
    <w:rsid w:val="00273153"/>
    <w:rPr>
      <w:color w:val="808080"/>
    </w:rPr>
  </w:style>
  <w:style w:type="paragraph" w:styleId="NaslovTOC">
    <w:name w:val="TOC Heading"/>
    <w:basedOn w:val="Naslov1"/>
    <w:next w:val="Navaden"/>
    <w:uiPriority w:val="39"/>
    <w:unhideWhenUsed/>
    <w:qFormat/>
    <w:rsid w:val="00187141"/>
    <w:pPr>
      <w:keepLines/>
      <w:spacing w:after="0" w:line="259" w:lineRule="auto"/>
      <w:outlineLvl w:val="9"/>
    </w:pPr>
    <w:rPr>
      <w:rFonts w:asciiTheme="majorHAnsi" w:eastAsiaTheme="majorEastAsia" w:hAnsiTheme="majorHAnsi" w:cstheme="majorBidi"/>
      <w:b w:val="0"/>
      <w:color w:val="365F91" w:themeColor="accent1" w:themeShade="BF"/>
      <w:kern w:val="0"/>
      <w:sz w:val="32"/>
    </w:rPr>
  </w:style>
  <w:style w:type="paragraph" w:styleId="Kazalovsebine1">
    <w:name w:val="toc 1"/>
    <w:basedOn w:val="Navaden"/>
    <w:next w:val="Navaden"/>
    <w:autoRedefine/>
    <w:uiPriority w:val="39"/>
    <w:rsid w:val="00187141"/>
    <w:pPr>
      <w:spacing w:after="100"/>
    </w:pPr>
  </w:style>
  <w:style w:type="character" w:customStyle="1" w:styleId="Nerazreenaomemba1">
    <w:name w:val="Nerazrešena omemba1"/>
    <w:basedOn w:val="Privzetapisavaodstavka"/>
    <w:uiPriority w:val="99"/>
    <w:semiHidden/>
    <w:unhideWhenUsed/>
    <w:rsid w:val="00A77304"/>
    <w:rPr>
      <w:color w:val="605E5C"/>
      <w:shd w:val="clear" w:color="auto" w:fill="E1DFDD"/>
    </w:rPr>
  </w:style>
  <w:style w:type="paragraph" w:styleId="Podnaslov">
    <w:name w:val="Subtitle"/>
    <w:basedOn w:val="Navaden"/>
    <w:next w:val="Navaden"/>
    <w:link w:val="PodnaslovZnak"/>
    <w:qFormat/>
    <w:rsid w:val="000F14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0F1443"/>
    <w:rPr>
      <w:rFonts w:asciiTheme="minorHAnsi" w:eastAsiaTheme="minorEastAsia" w:hAnsiTheme="minorHAnsi" w:cstheme="minorBidi"/>
      <w:color w:val="5A5A5A" w:themeColor="text1" w:themeTint="A5"/>
      <w:spacing w:val="15"/>
      <w:sz w:val="22"/>
      <w:szCs w:val="22"/>
      <w:lang w:val="en-US" w:eastAsia="en-US"/>
    </w:rPr>
  </w:style>
  <w:style w:type="paragraph" w:styleId="Naslov">
    <w:name w:val="Title"/>
    <w:basedOn w:val="Navaden"/>
    <w:next w:val="Navaden"/>
    <w:link w:val="NaslovZnak"/>
    <w:qFormat/>
    <w:rsid w:val="000907D5"/>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0907D5"/>
    <w:rPr>
      <w:rFonts w:asciiTheme="majorHAnsi" w:eastAsiaTheme="majorEastAsia" w:hAnsiTheme="majorHAnsi" w:cstheme="majorBidi"/>
      <w:spacing w:val="-10"/>
      <w:kern w:val="28"/>
      <w:sz w:val="56"/>
      <w:szCs w:val="56"/>
      <w:lang w:val="en-US" w:eastAsia="en-US"/>
    </w:rPr>
  </w:style>
  <w:style w:type="paragraph" w:styleId="Besedilooblaka">
    <w:name w:val="Balloon Text"/>
    <w:basedOn w:val="Navaden"/>
    <w:link w:val="BesedilooblakaZnak"/>
    <w:rsid w:val="00841AE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41AE1"/>
    <w:rPr>
      <w:rFonts w:ascii="Segoe UI" w:hAnsi="Segoe UI" w:cs="Segoe UI"/>
      <w:sz w:val="18"/>
      <w:szCs w:val="18"/>
      <w:lang w:val="en-US" w:eastAsia="en-US"/>
    </w:rPr>
  </w:style>
  <w:style w:type="character" w:styleId="Pripombasklic">
    <w:name w:val="annotation reference"/>
    <w:basedOn w:val="Privzetapisavaodstavka"/>
    <w:rsid w:val="00841AE1"/>
    <w:rPr>
      <w:sz w:val="16"/>
      <w:szCs w:val="16"/>
    </w:rPr>
  </w:style>
  <w:style w:type="paragraph" w:styleId="Pripombabesedilo">
    <w:name w:val="annotation text"/>
    <w:basedOn w:val="Navaden"/>
    <w:link w:val="PripombabesediloZnak"/>
    <w:rsid w:val="00841AE1"/>
    <w:pPr>
      <w:spacing w:line="240" w:lineRule="auto"/>
    </w:pPr>
    <w:rPr>
      <w:szCs w:val="20"/>
    </w:rPr>
  </w:style>
  <w:style w:type="character" w:customStyle="1" w:styleId="PripombabesediloZnak">
    <w:name w:val="Pripomba – besedilo Znak"/>
    <w:basedOn w:val="Privzetapisavaodstavka"/>
    <w:link w:val="Pripombabesedilo"/>
    <w:rsid w:val="00841AE1"/>
    <w:rPr>
      <w:rFonts w:ascii="Arial" w:hAnsi="Arial"/>
      <w:lang w:val="en-US" w:eastAsia="en-US"/>
    </w:rPr>
  </w:style>
  <w:style w:type="paragraph" w:styleId="Zadevapripombe">
    <w:name w:val="annotation subject"/>
    <w:basedOn w:val="Pripombabesedilo"/>
    <w:next w:val="Pripombabesedilo"/>
    <w:link w:val="ZadevapripombeZnak"/>
    <w:rsid w:val="00841AE1"/>
    <w:rPr>
      <w:b/>
      <w:bCs/>
    </w:rPr>
  </w:style>
  <w:style w:type="character" w:customStyle="1" w:styleId="ZadevapripombeZnak">
    <w:name w:val="Zadeva pripombe Znak"/>
    <w:basedOn w:val="PripombabesediloZnak"/>
    <w:link w:val="Zadevapripombe"/>
    <w:rsid w:val="00841AE1"/>
    <w:rPr>
      <w:rFonts w:ascii="Arial" w:hAnsi="Arial"/>
      <w:b/>
      <w:bCs/>
      <w:lang w:val="en-US" w:eastAsia="en-US"/>
    </w:rPr>
  </w:style>
  <w:style w:type="paragraph" w:styleId="Revizija">
    <w:name w:val="Revision"/>
    <w:hidden/>
    <w:uiPriority w:val="99"/>
    <w:semiHidden/>
    <w:rsid w:val="00FC6EE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1151">
      <w:bodyDiv w:val="1"/>
      <w:marLeft w:val="0"/>
      <w:marRight w:val="0"/>
      <w:marTop w:val="0"/>
      <w:marBottom w:val="0"/>
      <w:divBdr>
        <w:top w:val="none" w:sz="0" w:space="0" w:color="auto"/>
        <w:left w:val="none" w:sz="0" w:space="0" w:color="auto"/>
        <w:bottom w:val="none" w:sz="0" w:space="0" w:color="auto"/>
        <w:right w:val="none" w:sz="0" w:space="0" w:color="auto"/>
      </w:divBdr>
    </w:div>
    <w:div w:id="16592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ad xmlns="f6616d4a-3781-4adc-a06c-60c453a00097">GFU</Urad>
    <DT xmlns="f6616d4a-3781-4adc-a06c-60c453a00097" xsi:nil="true"/>
    <_dlc_DocId xmlns="26193fc4-38e1-40f3-8403-efc2519196bb">47T7AYJDZKZ5-469220573-10</_dlc_DocId>
    <_dlc_DocIdUrl xmlns="26193fc4-38e1-40f3-8403-efc2519196bb">
      <Url>https://intra.ad.sigov.si/sites/005-maks-projekti/EDS/_layouts/15/DocIdRedir.aspx?ID=47T7AYJDZKZ5-469220573-10</Url>
      <Description>47T7AYJDZKZ5-469220573-10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D3CB1A98A986741AE2D7BFC796FF7FF" ma:contentTypeVersion="3" ma:contentTypeDescription="Ustvari nov dokument." ma:contentTypeScope="" ma:versionID="6476c3b0d0c5cd4b161a28f1d1dfa305">
  <xsd:schema xmlns:xsd="http://www.w3.org/2001/XMLSchema" xmlns:xs="http://www.w3.org/2001/XMLSchema" xmlns:p="http://schemas.microsoft.com/office/2006/metadata/properties" xmlns:ns2="f6616d4a-3781-4adc-a06c-60c453a00097" xmlns:ns3="26193fc4-38e1-40f3-8403-efc2519196bb" targetNamespace="http://schemas.microsoft.com/office/2006/metadata/properties" ma:root="true" ma:fieldsID="9c4182915a66f7d0230e3e5cc9123988" ns2:_="" ns3:_="">
    <xsd:import namespace="f6616d4a-3781-4adc-a06c-60c453a00097"/>
    <xsd:import namespace="26193fc4-38e1-40f3-8403-efc2519196bb"/>
    <xsd:element name="properties">
      <xsd:complexType>
        <xsd:sequence>
          <xsd:element name="documentManagement">
            <xsd:complexType>
              <xsd:all>
                <xsd:element ref="ns2:Urad" minOccurs="0"/>
                <xsd:element ref="ns2:D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16d4a-3781-4adc-a06c-60c453a00097" elementFormDefault="qualified">
    <xsd:import namespace="http://schemas.microsoft.com/office/2006/documentManagement/types"/>
    <xsd:import namespace="http://schemas.microsoft.com/office/infopath/2007/PartnerControls"/>
    <xsd:element name="Urad" ma:index="4" nillable="true" ma:displayName="Urad" ma:internalName="Urad" ma:readOnly="false">
      <xsd:simpleType>
        <xsd:restriction base="dms:Text">
          <xsd:maxLength value="255"/>
        </xsd:restriction>
      </xsd:simpleType>
    </xsd:element>
    <xsd:element name="DT" ma:index="5" nillable="true" ma:displayName="DT" ma:default="1" ma:internalName="D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193fc4-38e1-40f3-8403-efc2519196bb" elementFormDefault="qualified">
    <xsd:import namespace="http://schemas.microsoft.com/office/2006/documentManagement/types"/>
    <xsd:import namespace="http://schemas.microsoft.com/office/infopath/2007/PartnerControls"/>
    <xsd:element name="_dlc_DocId" ma:index="10" nillable="true" ma:displayName="Vrednost ID-ja dokumenta" ma:description="Vrednost ID-ja dokumenta, dodeljenega temu elementu." ma:internalName="_dlc_DocId" ma:readOnly="true">
      <xsd:simpleType>
        <xsd:restriction base="dms:Text"/>
      </xsd:simpleType>
    </xsd:element>
    <xsd:element name="_dlc_DocIdUrl" ma:index="11"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8092-025F-450E-8D0E-9BA7E49B4F91}">
  <ds:schemaRefs>
    <ds:schemaRef ds:uri="http://schemas.microsoft.com/sharepoint/v3/contenttype/forms"/>
  </ds:schemaRefs>
</ds:datastoreItem>
</file>

<file path=customXml/itemProps2.xml><?xml version="1.0" encoding="utf-8"?>
<ds:datastoreItem xmlns:ds="http://schemas.openxmlformats.org/officeDocument/2006/customXml" ds:itemID="{81FD5FD6-89E7-43D7-928A-BBFDCE35913E}">
  <ds:schemaRefs>
    <ds:schemaRef ds:uri="http://schemas.microsoft.com/office/2006/metadata/properties"/>
    <ds:schemaRef ds:uri="http://schemas.microsoft.com/office/infopath/2007/PartnerControls"/>
    <ds:schemaRef ds:uri="f6616d4a-3781-4adc-a06c-60c453a00097"/>
    <ds:schemaRef ds:uri="26193fc4-38e1-40f3-8403-efc2519196bb"/>
  </ds:schemaRefs>
</ds:datastoreItem>
</file>

<file path=customXml/itemProps3.xml><?xml version="1.0" encoding="utf-8"?>
<ds:datastoreItem xmlns:ds="http://schemas.openxmlformats.org/officeDocument/2006/customXml" ds:itemID="{32D45185-1DF4-4D73-95EE-7711CCC45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16d4a-3781-4adc-a06c-60c453a00097"/>
    <ds:schemaRef ds:uri="26193fc4-38e1-40f3-8403-efc251919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22145-D585-4E3B-B590-808E837F9798}">
  <ds:schemaRefs>
    <ds:schemaRef ds:uri="http://schemas.microsoft.com/sharepoint/events"/>
  </ds:schemaRefs>
</ds:datastoreItem>
</file>

<file path=customXml/itemProps5.xml><?xml version="1.0" encoding="utf-8"?>
<ds:datastoreItem xmlns:ds="http://schemas.openxmlformats.org/officeDocument/2006/customXml" ds:itemID="{B445E779-5C6F-4F60-9621-EDC45632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1195</Words>
  <Characters>6814</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Number:</vt:lpstr>
      <vt:lpstr>Number: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dc:title>
  <dc:creator>Tomaž Lavrič</dc:creator>
  <cp:lastModifiedBy>Anja Ivančič</cp:lastModifiedBy>
  <cp:revision>5</cp:revision>
  <cp:lastPrinted>2011-01-20T09:46:00Z</cp:lastPrinted>
  <dcterms:created xsi:type="dcterms:W3CDTF">2024-08-08T10:48:00Z</dcterms:created>
  <dcterms:modified xsi:type="dcterms:W3CDTF">2024-08-08T11:47:00Z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0x0101003D3CB1A98A986741AE2D7BFC796FF7FF</vt:lpwstr>
  </property>
  <property fmtid="{D5CDD505-2E9C-101B-9397-08002B2CF9AE}" pid="3" name="Order">
    <vt:r8>12800</vt:r8>
  </property>
  <property fmtid="{D5CDD505-2E9C-101B-9397-08002B2CF9AE}" pid="4" name="_dlc_DocIdItemGuid">
    <vt:lpwstr>880f93a7-1e9f-46eb-93f5-7867b80748a8</vt:lpwstr>
  </property>
</Properties>
</file>