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1335" w14:textId="77777777" w:rsidR="008543D7" w:rsidRDefault="008543D7" w:rsidP="008543D7">
      <w:pPr>
        <w:pStyle w:val="datumtevilka"/>
        <w:jc w:val="both"/>
      </w:pPr>
      <w:bookmarkStart w:id="0" w:name="SubjektDokumentaNazivBrezPredpon"/>
    </w:p>
    <w:bookmarkEnd w:id="0"/>
    <w:p w14:paraId="63114666" w14:textId="77777777" w:rsidR="008543D7" w:rsidRDefault="008543D7" w:rsidP="008543D7">
      <w:pPr>
        <w:pStyle w:val="ZADEVA"/>
        <w:jc w:val="both"/>
        <w:rPr>
          <w:lang w:val="sl-SI"/>
        </w:rPr>
      </w:pPr>
    </w:p>
    <w:p w14:paraId="295F721B" w14:textId="77777777" w:rsidR="000027DA" w:rsidRDefault="000027DA" w:rsidP="008543D7">
      <w:pPr>
        <w:pStyle w:val="ZADEVA"/>
        <w:jc w:val="both"/>
        <w:rPr>
          <w:lang w:val="sl-SI"/>
        </w:rPr>
      </w:pPr>
    </w:p>
    <w:p w14:paraId="6FE36D32" w14:textId="77777777" w:rsidR="000027DA" w:rsidRDefault="000027DA" w:rsidP="008543D7">
      <w:pPr>
        <w:pStyle w:val="ZADEVA"/>
        <w:jc w:val="both"/>
        <w:rPr>
          <w:lang w:val="sl-SI"/>
        </w:rPr>
      </w:pPr>
    </w:p>
    <w:p w14:paraId="3495C022" w14:textId="77777777" w:rsidR="000027DA" w:rsidRDefault="000027DA" w:rsidP="000027DA">
      <w:pPr>
        <w:pStyle w:val="ZADEVA"/>
        <w:tabs>
          <w:tab w:val="clear" w:pos="1701"/>
          <w:tab w:val="left" w:pos="0"/>
        </w:tabs>
        <w:ind w:left="0" w:firstLine="0"/>
        <w:jc w:val="both"/>
        <w:rPr>
          <w:lang w:val="sl-SI"/>
        </w:rPr>
      </w:pPr>
      <w:bookmarkStart w:id="1" w:name="OpisDokumenta"/>
    </w:p>
    <w:p w14:paraId="28C6AAE5" w14:textId="3E6E9D4F" w:rsidR="007D75CF" w:rsidRPr="008543D7" w:rsidRDefault="00000000" w:rsidP="000027DA">
      <w:pPr>
        <w:pStyle w:val="ZADEVA"/>
        <w:tabs>
          <w:tab w:val="clear" w:pos="1701"/>
          <w:tab w:val="left" w:pos="0"/>
        </w:tabs>
        <w:ind w:left="0" w:firstLine="0"/>
        <w:jc w:val="both"/>
        <w:rPr>
          <w:lang w:val="sl-SI"/>
        </w:rPr>
      </w:pPr>
      <w:r w:rsidRPr="008543D7">
        <w:rPr>
          <w:lang w:val="sl-SI"/>
        </w:rPr>
        <w:t>Predložitev dokazil o preferencialnem poreklu v času trajanja krize COVID-19 – začasna opustitev Informativnega obvestila št. 1</w:t>
      </w:r>
      <w:bookmarkEnd w:id="1"/>
    </w:p>
    <w:p w14:paraId="6896E5FC" w14:textId="77777777" w:rsidR="007D75CF" w:rsidRPr="008543D7" w:rsidRDefault="007D75CF" w:rsidP="008543D7">
      <w:pPr>
        <w:jc w:val="both"/>
        <w:rPr>
          <w:lang w:val="sl-SI"/>
        </w:rPr>
      </w:pPr>
    </w:p>
    <w:p w14:paraId="0001E9BD" w14:textId="77777777" w:rsidR="007D75CF" w:rsidRPr="008543D7" w:rsidRDefault="007D75CF" w:rsidP="008543D7">
      <w:pPr>
        <w:jc w:val="both"/>
        <w:rPr>
          <w:lang w:val="sl-SI"/>
        </w:rPr>
      </w:pPr>
    </w:p>
    <w:p w14:paraId="51E0A9B2" w14:textId="4EB101A6" w:rsidR="008543D7" w:rsidRPr="00D92705" w:rsidRDefault="00000000" w:rsidP="008543D7">
      <w:pPr>
        <w:jc w:val="both"/>
        <w:rPr>
          <w:rFonts w:cs="Arial"/>
          <w:szCs w:val="20"/>
          <w:lang w:val="sl-SI" w:eastAsia="en-GB"/>
        </w:rPr>
      </w:pPr>
      <w:r w:rsidRPr="00D92705">
        <w:rPr>
          <w:rFonts w:cs="Arial"/>
          <w:szCs w:val="20"/>
          <w:lang w:val="sl-SI" w:eastAsia="en-GB"/>
        </w:rPr>
        <w:t xml:space="preserve">Z dopisom št. 4246-272/2020-1, z dne 8. 4. 2020, smo vas obvestili, da je Evropska komisija za čas trajanja krize COVID-19 sprejela izjemne ukrepe v zvezi s predložitvijo dokazil o poreklu za namene odobritve preferencialne tarifne obravnave, saj so bili v času krize COVID-19 v nekaterih državah članicah EU in trgovinskih partnericah EU prekinjeni stiki med carinskimi organi in gospodarskimi subjekti, kar je povzročilo probleme v zvezi z izdajanjem potrdil o poreklu blaga (potrdilo o gibanju blaga EUR.1 ali EUR-MED, potrdilo o gibanju blaga A.TR.) v predpisani obliki (izdaja potrdila na predpisanem papirnatem obrazcu, podpis izvoznika, žig in podpis za namene carinske overovitve, itd…). Evropska komisija je v ta namen dne 31. 3. 2020 pripravila </w:t>
      </w:r>
      <w:hyperlink r:id="rId8" w:history="1">
        <w:r w:rsidRPr="00D92705">
          <w:rPr>
            <w:rFonts w:cs="Arial"/>
            <w:szCs w:val="20"/>
            <w:lang w:val="sl-SI" w:eastAsia="en-GB"/>
          </w:rPr>
          <w:t>Informativno obvestilo št. 1</w:t>
        </w:r>
      </w:hyperlink>
      <w:r w:rsidRPr="00D92705">
        <w:rPr>
          <w:rFonts w:cs="Arial"/>
          <w:szCs w:val="20"/>
          <w:lang w:val="sl-SI" w:eastAsia="en-GB"/>
        </w:rPr>
        <w:t>, s katerim je želela doseči, da v času trajanja izrednih razmer preferencialna trgovina ne bi bila prekinjena.</w:t>
      </w:r>
    </w:p>
    <w:p w14:paraId="32DB0368" w14:textId="77777777" w:rsidR="008543D7" w:rsidRPr="00D92705" w:rsidRDefault="008543D7" w:rsidP="008543D7">
      <w:pPr>
        <w:jc w:val="both"/>
        <w:rPr>
          <w:rFonts w:cs="Arial"/>
          <w:szCs w:val="20"/>
          <w:lang w:val="sl-SI" w:eastAsia="en-GB"/>
        </w:rPr>
      </w:pPr>
    </w:p>
    <w:p w14:paraId="171E7C48" w14:textId="77777777" w:rsidR="008543D7" w:rsidRPr="00D92705" w:rsidRDefault="00000000" w:rsidP="008543D7">
      <w:pPr>
        <w:jc w:val="both"/>
        <w:rPr>
          <w:rFonts w:cs="Arial"/>
          <w:szCs w:val="20"/>
          <w:lang w:val="sl-SI" w:eastAsia="en-GB"/>
        </w:rPr>
      </w:pPr>
      <w:r w:rsidRPr="00D92705">
        <w:rPr>
          <w:rFonts w:cs="Arial"/>
          <w:szCs w:val="20"/>
          <w:lang w:val="sl-SI" w:eastAsia="en-GB"/>
        </w:rPr>
        <w:t>V Informativnem obvestilu št. 1 je Evropska komisija navedla, da lahko izjemoma in v času krize COVID-19 ter do preklica carinski organi držav članic EU in organi v trgovinskih partnericah EU, ki se s sprejetimi izjemnimi ukrepi strinjajo, za namene odobritve preferencialne obravnave sprejmejo kopije potrdil, in sicer lahko sprejmejo: a) kopije potrdil v papirni ali elektronski obliki izvirnika potrdila, ki so jih podpisali in žigosali pristojni organi, kot se običajno zahteva ali b) potrdila, ki jih niso podpisali in žigosali pristojni organi kot se običajno zahteva, ampak so digitalno podpisana s strani pristojnih organov ali kopije takšnih potrdil, bodisi v papirni ali elektronski obliki.</w:t>
      </w:r>
    </w:p>
    <w:p w14:paraId="0792A549" w14:textId="77777777" w:rsidR="008543D7" w:rsidRDefault="008543D7" w:rsidP="008543D7">
      <w:pPr>
        <w:jc w:val="both"/>
        <w:rPr>
          <w:lang w:val="sl-SI"/>
        </w:rPr>
      </w:pPr>
    </w:p>
    <w:p w14:paraId="1FDB8DCE" w14:textId="77777777" w:rsidR="008543D7" w:rsidRDefault="00000000" w:rsidP="008543D7">
      <w:pPr>
        <w:spacing w:line="60" w:lineRule="atLeast"/>
        <w:contextualSpacing/>
        <w:jc w:val="both"/>
        <w:rPr>
          <w:rFonts w:cs="Arial"/>
          <w:szCs w:val="20"/>
          <w:lang w:val="sl-SI" w:eastAsia="en-GB"/>
        </w:rPr>
      </w:pPr>
      <w:r w:rsidRPr="00D966A8">
        <w:rPr>
          <w:rFonts w:cs="Arial"/>
          <w:szCs w:val="20"/>
          <w:lang w:val="sl-SI" w:eastAsia="en-GB"/>
        </w:rPr>
        <w:t>E</w:t>
      </w:r>
      <w:r>
        <w:rPr>
          <w:rFonts w:cs="Arial"/>
          <w:szCs w:val="20"/>
          <w:lang w:val="sl-SI" w:eastAsia="en-GB"/>
        </w:rPr>
        <w:t xml:space="preserve">vropska komisija </w:t>
      </w:r>
      <w:r w:rsidRPr="00D966A8">
        <w:rPr>
          <w:rFonts w:cs="Arial"/>
          <w:szCs w:val="20"/>
          <w:lang w:val="sl-SI" w:eastAsia="en-GB"/>
        </w:rPr>
        <w:t xml:space="preserve">je na svoji </w:t>
      </w:r>
      <w:hyperlink r:id="rId9" w:anchor="heading_4" w:history="1">
        <w:r w:rsidRPr="00D966A8">
          <w:rPr>
            <w:rFonts w:cs="Arial"/>
            <w:color w:val="0000FF"/>
            <w:szCs w:val="20"/>
            <w:u w:val="single"/>
            <w:lang w:val="sl-SI" w:eastAsia="en-GB"/>
          </w:rPr>
          <w:t>spletni strani</w:t>
        </w:r>
      </w:hyperlink>
      <w:r w:rsidRPr="00D966A8">
        <w:rPr>
          <w:rFonts w:cs="Arial"/>
          <w:szCs w:val="20"/>
          <w:lang w:val="sl-SI" w:eastAsia="en-GB"/>
        </w:rPr>
        <w:t xml:space="preserve"> objavila</w:t>
      </w:r>
      <w:r>
        <w:rPr>
          <w:rFonts w:cs="Arial"/>
          <w:szCs w:val="20"/>
          <w:lang w:val="sl-SI" w:eastAsia="en-GB"/>
        </w:rPr>
        <w:t xml:space="preserve"> tudi</w:t>
      </w:r>
      <w:r w:rsidRPr="00D966A8">
        <w:rPr>
          <w:rFonts w:cs="Arial"/>
          <w:szCs w:val="20"/>
          <w:lang w:val="sl-SI" w:eastAsia="en-GB"/>
        </w:rPr>
        <w:t xml:space="preserve"> informacije o izjemnih ukrepih, ki so jih sprejele države članice EU in trgovinske partnerice EU v povezavi s predložitvijo dokazil o poreklu blaga. Na tej spletni strani so objavljene 3 razpredelnice, ki vsebujejo informacije o uporabljenih izjemnih ukrepih s strani posameznih držav članic</w:t>
      </w:r>
      <w:r>
        <w:rPr>
          <w:rFonts w:cs="Arial"/>
          <w:szCs w:val="20"/>
          <w:lang w:val="sl-SI" w:eastAsia="en-GB"/>
        </w:rPr>
        <w:t xml:space="preserve"> EU</w:t>
      </w:r>
      <w:r w:rsidRPr="00D966A8">
        <w:rPr>
          <w:rFonts w:cs="Arial"/>
          <w:szCs w:val="20"/>
          <w:lang w:val="sl-SI" w:eastAsia="en-GB"/>
        </w:rPr>
        <w:t xml:space="preserve"> in trgovinskih partneric</w:t>
      </w:r>
      <w:r>
        <w:rPr>
          <w:rFonts w:cs="Arial"/>
          <w:szCs w:val="20"/>
          <w:lang w:val="sl-SI" w:eastAsia="en-GB"/>
        </w:rPr>
        <w:t xml:space="preserve"> EU</w:t>
      </w:r>
      <w:r w:rsidRPr="00D966A8">
        <w:rPr>
          <w:rFonts w:cs="Arial"/>
          <w:szCs w:val="20"/>
          <w:lang w:val="sl-SI" w:eastAsia="en-GB"/>
        </w:rPr>
        <w:t xml:space="preserve">, pri čemer se prva razpredelnica nanaša izključno na  </w:t>
      </w:r>
      <w:hyperlink r:id="rId10" w:history="1">
        <w:r w:rsidRPr="00D966A8">
          <w:rPr>
            <w:rStyle w:val="Hiperpovezava"/>
            <w:rFonts w:cs="Arial"/>
            <w:szCs w:val="20"/>
            <w:lang w:val="sl-SI" w:eastAsia="en-GB"/>
          </w:rPr>
          <w:t>države članice EU</w:t>
        </w:r>
      </w:hyperlink>
      <w:r w:rsidRPr="00D966A8">
        <w:rPr>
          <w:rFonts w:cs="Arial"/>
          <w:szCs w:val="20"/>
          <w:lang w:val="sl-SI" w:eastAsia="en-GB"/>
        </w:rPr>
        <w:t xml:space="preserve">, druga na </w:t>
      </w:r>
      <w:hyperlink r:id="rId11" w:history="1">
        <w:r w:rsidRPr="00D966A8">
          <w:rPr>
            <w:rStyle w:val="Hiperpovezava"/>
            <w:rFonts w:cs="Arial"/>
            <w:szCs w:val="20"/>
            <w:lang w:val="sl-SI" w:eastAsia="en-GB"/>
          </w:rPr>
          <w:t>države pan-evro-mediteranskega (PEM) območja</w:t>
        </w:r>
      </w:hyperlink>
      <w:r w:rsidRPr="00D966A8">
        <w:rPr>
          <w:rFonts w:cs="Arial"/>
          <w:szCs w:val="20"/>
          <w:lang w:val="sl-SI" w:eastAsia="en-GB"/>
        </w:rPr>
        <w:t xml:space="preserve">, tretja pa na </w:t>
      </w:r>
      <w:hyperlink r:id="rId12" w:history="1">
        <w:r w:rsidRPr="00D966A8">
          <w:rPr>
            <w:rStyle w:val="Hiperpovezava"/>
            <w:rFonts w:cs="Arial"/>
            <w:szCs w:val="20"/>
            <w:lang w:val="sl-SI" w:eastAsia="en-GB"/>
          </w:rPr>
          <w:t>druge trgovinske partnerice EU</w:t>
        </w:r>
      </w:hyperlink>
      <w:r>
        <w:rPr>
          <w:rFonts w:cs="Arial"/>
          <w:szCs w:val="20"/>
          <w:lang w:val="sl-SI" w:eastAsia="en-GB"/>
        </w:rPr>
        <w:t>.</w:t>
      </w:r>
    </w:p>
    <w:p w14:paraId="44DBD8B9" w14:textId="77777777" w:rsidR="008543D7" w:rsidRDefault="008543D7" w:rsidP="008543D7">
      <w:pPr>
        <w:spacing w:line="60" w:lineRule="atLeast"/>
        <w:contextualSpacing/>
        <w:jc w:val="both"/>
        <w:rPr>
          <w:rFonts w:cs="Arial"/>
          <w:szCs w:val="20"/>
          <w:lang w:val="sl-SI" w:eastAsia="en-GB"/>
        </w:rPr>
      </w:pPr>
    </w:p>
    <w:p w14:paraId="41161696" w14:textId="77777777" w:rsidR="008543D7" w:rsidRDefault="00000000" w:rsidP="008543D7">
      <w:pPr>
        <w:spacing w:line="60" w:lineRule="atLeast"/>
        <w:contextualSpacing/>
        <w:jc w:val="both"/>
        <w:rPr>
          <w:rFonts w:cs="Arial"/>
          <w:szCs w:val="20"/>
          <w:lang w:val="sl-SI" w:eastAsia="en-GB"/>
        </w:rPr>
      </w:pPr>
      <w:r w:rsidRPr="00230F3E">
        <w:rPr>
          <w:rFonts w:cs="Arial"/>
          <w:szCs w:val="20"/>
          <w:lang w:val="sl-SI" w:eastAsia="en-GB"/>
        </w:rPr>
        <w:t xml:space="preserve">V </w:t>
      </w:r>
      <w:r>
        <w:rPr>
          <w:rFonts w:cs="Arial"/>
          <w:szCs w:val="20"/>
          <w:lang w:val="sl-SI" w:eastAsia="en-GB"/>
        </w:rPr>
        <w:t>I</w:t>
      </w:r>
      <w:r w:rsidRPr="00230F3E">
        <w:rPr>
          <w:rFonts w:cs="Arial"/>
          <w:szCs w:val="20"/>
          <w:lang w:val="sl-SI" w:eastAsia="en-GB"/>
        </w:rPr>
        <w:t>nformativnem</w:t>
      </w:r>
      <w:r>
        <w:rPr>
          <w:rFonts w:cs="Arial"/>
          <w:szCs w:val="20"/>
          <w:lang w:val="sl-SI" w:eastAsia="en-GB"/>
        </w:rPr>
        <w:t xml:space="preserve"> obvestilu št. 1 </w:t>
      </w:r>
      <w:r w:rsidRPr="00230F3E">
        <w:rPr>
          <w:rFonts w:cs="Arial"/>
          <w:szCs w:val="20"/>
          <w:lang w:val="sl-SI" w:eastAsia="en-GB"/>
        </w:rPr>
        <w:t xml:space="preserve">je navedeno, da </w:t>
      </w:r>
      <w:r>
        <w:rPr>
          <w:rFonts w:cs="Arial"/>
          <w:szCs w:val="20"/>
          <w:lang w:val="sl-SI" w:eastAsia="en-GB"/>
        </w:rPr>
        <w:t xml:space="preserve">se bodo </w:t>
      </w:r>
      <w:r w:rsidRPr="00230F3E">
        <w:rPr>
          <w:rFonts w:cs="Arial"/>
          <w:szCs w:val="20"/>
          <w:lang w:val="sl-SI" w:eastAsia="en-GB"/>
        </w:rPr>
        <w:t xml:space="preserve">priporočene prakse </w:t>
      </w:r>
      <w:r>
        <w:rPr>
          <w:rFonts w:cs="Arial"/>
          <w:szCs w:val="20"/>
          <w:lang w:val="sl-SI" w:eastAsia="en-GB"/>
        </w:rPr>
        <w:t>(torej tudi sprejem kopij potrdil o poreklu blaga) prenehale uporabljati med državami članicami EU in trgovinskimi partnericami EU</w:t>
      </w:r>
      <w:r w:rsidRPr="00230F3E">
        <w:rPr>
          <w:rFonts w:cs="Arial"/>
          <w:szCs w:val="20"/>
          <w:lang w:val="sl-SI" w:eastAsia="en-GB"/>
        </w:rPr>
        <w:t xml:space="preserve">, ko </w:t>
      </w:r>
      <w:r>
        <w:rPr>
          <w:rFonts w:cs="Arial"/>
          <w:szCs w:val="20"/>
          <w:lang w:val="sl-SI" w:eastAsia="en-GB"/>
        </w:rPr>
        <w:t xml:space="preserve">se bodo </w:t>
      </w:r>
      <w:r w:rsidRPr="00230F3E">
        <w:rPr>
          <w:rFonts w:cs="Arial"/>
          <w:szCs w:val="20"/>
          <w:lang w:val="sl-SI" w:eastAsia="en-GB"/>
        </w:rPr>
        <w:t xml:space="preserve">izredne razmere </w:t>
      </w:r>
      <w:r>
        <w:rPr>
          <w:rFonts w:cs="Arial"/>
          <w:szCs w:val="20"/>
          <w:lang w:val="sl-SI" w:eastAsia="en-GB"/>
        </w:rPr>
        <w:t>ustavile.</w:t>
      </w:r>
      <w:r w:rsidRPr="008349B6">
        <w:rPr>
          <w:lang w:val="sl-SI"/>
        </w:rPr>
        <w:t xml:space="preserve"> </w:t>
      </w:r>
      <w:r w:rsidRPr="008349B6">
        <w:rPr>
          <w:b/>
          <w:bCs/>
          <w:lang w:val="sl-SI"/>
        </w:rPr>
        <w:t xml:space="preserve">Evropska komisija </w:t>
      </w:r>
      <w:r w:rsidRPr="008349B6">
        <w:rPr>
          <w:rFonts w:cs="Arial"/>
          <w:b/>
          <w:bCs/>
          <w:szCs w:val="20"/>
          <w:lang w:val="sl-SI" w:eastAsia="en-GB"/>
        </w:rPr>
        <w:t>meni, da priporočene prakse niso več upravičene in da se lahko Informativn</w:t>
      </w:r>
      <w:r>
        <w:rPr>
          <w:rFonts w:cs="Arial"/>
          <w:b/>
          <w:bCs/>
          <w:szCs w:val="20"/>
          <w:lang w:val="sl-SI" w:eastAsia="en-GB"/>
        </w:rPr>
        <w:t>o</w:t>
      </w:r>
      <w:r w:rsidRPr="008349B6">
        <w:rPr>
          <w:rFonts w:cs="Arial"/>
          <w:b/>
          <w:bCs/>
          <w:szCs w:val="20"/>
          <w:lang w:val="sl-SI" w:eastAsia="en-GB"/>
        </w:rPr>
        <w:t xml:space="preserve"> obvestil</w:t>
      </w:r>
      <w:r>
        <w:rPr>
          <w:rFonts w:cs="Arial"/>
          <w:b/>
          <w:bCs/>
          <w:szCs w:val="20"/>
          <w:lang w:val="sl-SI" w:eastAsia="en-GB"/>
        </w:rPr>
        <w:t>o</w:t>
      </w:r>
      <w:r w:rsidRPr="008349B6">
        <w:rPr>
          <w:rFonts w:cs="Arial"/>
          <w:b/>
          <w:bCs/>
          <w:szCs w:val="20"/>
          <w:lang w:val="sl-SI" w:eastAsia="en-GB"/>
        </w:rPr>
        <w:t xml:space="preserve"> št. 1</w:t>
      </w:r>
      <w:r>
        <w:rPr>
          <w:rFonts w:cs="Arial"/>
          <w:b/>
          <w:bCs/>
          <w:szCs w:val="20"/>
          <w:lang w:val="sl-SI" w:eastAsia="en-GB"/>
        </w:rPr>
        <w:t>,</w:t>
      </w:r>
      <w:r w:rsidRPr="008349B6">
        <w:rPr>
          <w:rFonts w:cs="Arial"/>
          <w:b/>
          <w:bCs/>
          <w:szCs w:val="20"/>
          <w:lang w:val="sl-SI" w:eastAsia="en-GB"/>
        </w:rPr>
        <w:t xml:space="preserve"> z dne 30. marca 2020</w:t>
      </w:r>
      <w:r>
        <w:rPr>
          <w:rFonts w:cs="Arial"/>
          <w:b/>
          <w:bCs/>
          <w:szCs w:val="20"/>
          <w:lang w:val="sl-SI" w:eastAsia="en-GB"/>
        </w:rPr>
        <w:t>,</w:t>
      </w:r>
      <w:r w:rsidRPr="008349B6">
        <w:rPr>
          <w:rFonts w:cs="Arial"/>
          <w:b/>
          <w:bCs/>
          <w:szCs w:val="20"/>
          <w:lang w:val="sl-SI" w:eastAsia="en-GB"/>
        </w:rPr>
        <w:t xml:space="preserve"> začasno </w:t>
      </w:r>
      <w:r>
        <w:rPr>
          <w:rFonts w:cs="Arial"/>
          <w:b/>
          <w:bCs/>
          <w:szCs w:val="20"/>
          <w:lang w:val="sl-SI" w:eastAsia="en-GB"/>
        </w:rPr>
        <w:t>opusti</w:t>
      </w:r>
      <w:r w:rsidRPr="008349B6">
        <w:rPr>
          <w:rFonts w:cs="Arial"/>
          <w:b/>
          <w:bCs/>
          <w:szCs w:val="20"/>
          <w:lang w:val="sl-SI" w:eastAsia="en-GB"/>
        </w:rPr>
        <w:t xml:space="preserve"> in se ne uporablja več od 1. maja 2024</w:t>
      </w:r>
      <w:r>
        <w:rPr>
          <w:rFonts w:cs="Arial"/>
          <w:b/>
          <w:bCs/>
          <w:szCs w:val="20"/>
          <w:lang w:val="sl-SI" w:eastAsia="en-GB"/>
        </w:rPr>
        <w:t xml:space="preserve"> dalje</w:t>
      </w:r>
      <w:r w:rsidRPr="008349B6">
        <w:rPr>
          <w:rFonts w:cs="Arial"/>
          <w:b/>
          <w:bCs/>
          <w:szCs w:val="20"/>
          <w:lang w:val="sl-SI" w:eastAsia="en-GB"/>
        </w:rPr>
        <w:t>.</w:t>
      </w:r>
      <w:r>
        <w:rPr>
          <w:rFonts w:cs="Arial"/>
          <w:szCs w:val="20"/>
          <w:lang w:val="sl-SI" w:eastAsia="en-GB"/>
        </w:rPr>
        <w:t xml:space="preserve"> </w:t>
      </w:r>
    </w:p>
    <w:p w14:paraId="076D491E" w14:textId="77777777" w:rsidR="008543D7" w:rsidRDefault="008543D7" w:rsidP="008543D7">
      <w:pPr>
        <w:spacing w:line="60" w:lineRule="atLeast"/>
        <w:contextualSpacing/>
        <w:jc w:val="both"/>
        <w:rPr>
          <w:rFonts w:cs="Arial"/>
          <w:szCs w:val="20"/>
          <w:lang w:val="sl-SI" w:eastAsia="en-GB"/>
        </w:rPr>
      </w:pPr>
    </w:p>
    <w:p w14:paraId="069AC876" w14:textId="77777777" w:rsidR="008543D7" w:rsidRDefault="00000000" w:rsidP="008543D7">
      <w:pPr>
        <w:spacing w:line="60" w:lineRule="atLeast"/>
        <w:contextualSpacing/>
        <w:jc w:val="both"/>
        <w:rPr>
          <w:rFonts w:cs="Arial"/>
          <w:szCs w:val="20"/>
          <w:lang w:val="sl-SI" w:eastAsia="en-GB"/>
        </w:rPr>
      </w:pPr>
      <w:r>
        <w:rPr>
          <w:rFonts w:cs="Arial"/>
          <w:szCs w:val="20"/>
          <w:lang w:val="sl-SI" w:eastAsia="en-GB"/>
        </w:rPr>
        <w:t>I</w:t>
      </w:r>
      <w:r w:rsidRPr="00480506">
        <w:rPr>
          <w:rFonts w:cs="Arial"/>
          <w:szCs w:val="20"/>
          <w:lang w:val="sl-SI" w:eastAsia="en-GB"/>
        </w:rPr>
        <w:t>nformativno obvestilo št. 1, z dne 31. marca 2020, ki ga je pripravila Evropska komisija zaradi krize COVID-19 (sprejem kopij potrdil v papirni ali elektronski obliki; sprejem digitalno podpisanih potrdil ali kopij takšnega potrdila)</w:t>
      </w:r>
      <w:r>
        <w:rPr>
          <w:rFonts w:cs="Arial"/>
          <w:szCs w:val="20"/>
          <w:lang w:val="sl-SI" w:eastAsia="en-GB"/>
        </w:rPr>
        <w:t xml:space="preserve"> </w:t>
      </w:r>
      <w:r w:rsidRPr="003011AD">
        <w:rPr>
          <w:rFonts w:cs="Arial"/>
          <w:b/>
          <w:bCs/>
          <w:szCs w:val="20"/>
          <w:lang w:val="sl-SI" w:eastAsia="en-GB"/>
        </w:rPr>
        <w:t>v okviru obstoječih PEM pravil</w:t>
      </w:r>
      <w:r>
        <w:rPr>
          <w:rFonts w:cs="Arial"/>
          <w:szCs w:val="20"/>
          <w:lang w:val="sl-SI" w:eastAsia="en-GB"/>
        </w:rPr>
        <w:t xml:space="preserve"> (pravil o poreklu iz </w:t>
      </w:r>
      <w:r w:rsidRPr="00480506">
        <w:rPr>
          <w:rFonts w:cs="Arial"/>
          <w:szCs w:val="20"/>
          <w:lang w:val="sl-SI" w:eastAsia="en-GB"/>
        </w:rPr>
        <w:t>Regionaln</w:t>
      </w:r>
      <w:r>
        <w:rPr>
          <w:rFonts w:cs="Arial"/>
          <w:szCs w:val="20"/>
          <w:lang w:val="sl-SI" w:eastAsia="en-GB"/>
        </w:rPr>
        <w:t>e</w:t>
      </w:r>
      <w:r w:rsidRPr="00480506">
        <w:rPr>
          <w:rFonts w:cs="Arial"/>
          <w:szCs w:val="20"/>
          <w:lang w:val="sl-SI" w:eastAsia="en-GB"/>
        </w:rPr>
        <w:t xml:space="preserve"> konvencij</w:t>
      </w:r>
      <w:r>
        <w:rPr>
          <w:rFonts w:cs="Arial"/>
          <w:szCs w:val="20"/>
          <w:lang w:val="sl-SI" w:eastAsia="en-GB"/>
        </w:rPr>
        <w:t>e</w:t>
      </w:r>
      <w:r w:rsidRPr="00480506">
        <w:rPr>
          <w:rFonts w:cs="Arial"/>
          <w:szCs w:val="20"/>
          <w:lang w:val="sl-SI" w:eastAsia="en-GB"/>
        </w:rPr>
        <w:t xml:space="preserve"> o pan-evro-mediteranskih preferencialnih pravilih o poreklu</w:t>
      </w:r>
      <w:r>
        <w:rPr>
          <w:rFonts w:cs="Arial"/>
          <w:szCs w:val="20"/>
          <w:lang w:val="sl-SI" w:eastAsia="en-GB"/>
        </w:rPr>
        <w:t xml:space="preserve">; </w:t>
      </w:r>
      <w:hyperlink r:id="rId13" w:anchor="L_2013054SL.01000401" w:history="1">
        <w:r w:rsidRPr="003011AD">
          <w:rPr>
            <w:rStyle w:val="Hiperpovezava"/>
            <w:rFonts w:cs="Arial"/>
            <w:szCs w:val="20"/>
            <w:lang w:val="sl-SI" w:eastAsia="en-GB"/>
          </w:rPr>
          <w:t>Uradni list EU L 54</w:t>
        </w:r>
      </w:hyperlink>
      <w:r w:rsidRPr="00480506">
        <w:rPr>
          <w:rFonts w:cs="Arial"/>
          <w:szCs w:val="20"/>
          <w:lang w:val="sl-SI" w:eastAsia="en-GB"/>
        </w:rPr>
        <w:t>, z dne 26. 2. 2013</w:t>
      </w:r>
      <w:r>
        <w:rPr>
          <w:rFonts w:cs="Arial"/>
          <w:szCs w:val="20"/>
          <w:lang w:val="sl-SI" w:eastAsia="en-GB"/>
        </w:rPr>
        <w:t>; v nadaljnjem besedilu: PEM konvencija</w:t>
      </w:r>
      <w:r w:rsidRPr="00480506">
        <w:rPr>
          <w:rFonts w:cs="Arial"/>
          <w:szCs w:val="20"/>
          <w:lang w:val="sl-SI" w:eastAsia="en-GB"/>
        </w:rPr>
        <w:t xml:space="preserve">) </w:t>
      </w:r>
      <w:r>
        <w:rPr>
          <w:rFonts w:cs="Arial"/>
          <w:szCs w:val="20"/>
          <w:lang w:val="sl-SI" w:eastAsia="en-GB"/>
        </w:rPr>
        <w:t xml:space="preserve">nadomešča </w:t>
      </w:r>
      <w:r w:rsidRPr="003011AD">
        <w:rPr>
          <w:rFonts w:cs="Arial"/>
          <w:szCs w:val="20"/>
          <w:lang w:val="sl-SI" w:eastAsia="en-GB"/>
        </w:rPr>
        <w:t>Priporočilo št. 1/2023 skupnega odbora Regionalne konvencije o pan-evro-mediteranskih preferencialnih pravilih o poreklu</w:t>
      </w:r>
      <w:r>
        <w:rPr>
          <w:rFonts w:cs="Arial"/>
          <w:szCs w:val="20"/>
          <w:lang w:val="sl-SI" w:eastAsia="en-GB"/>
        </w:rPr>
        <w:t>,</w:t>
      </w:r>
      <w:r w:rsidRPr="003011AD">
        <w:rPr>
          <w:rFonts w:cs="Arial"/>
          <w:szCs w:val="20"/>
          <w:lang w:val="sl-SI" w:eastAsia="en-GB"/>
        </w:rPr>
        <w:t xml:space="preserve"> z dne 7. decembra 2023</w:t>
      </w:r>
      <w:r>
        <w:rPr>
          <w:rFonts w:cs="Arial"/>
          <w:szCs w:val="20"/>
          <w:lang w:val="sl-SI" w:eastAsia="en-GB"/>
        </w:rPr>
        <w:t>,</w:t>
      </w:r>
      <w:r w:rsidRPr="003011AD">
        <w:rPr>
          <w:rFonts w:cs="Arial"/>
          <w:szCs w:val="20"/>
          <w:lang w:val="sl-SI" w:eastAsia="en-GB"/>
        </w:rPr>
        <w:t xml:space="preserve"> o uporabi elektronsko izdanih potrdil o gibanju blag</w:t>
      </w:r>
      <w:r>
        <w:rPr>
          <w:rFonts w:cs="Arial"/>
          <w:szCs w:val="20"/>
          <w:lang w:val="sl-SI" w:eastAsia="en-GB"/>
        </w:rPr>
        <w:t>a (</w:t>
      </w:r>
      <w:hyperlink r:id="rId14" w:history="1">
        <w:r w:rsidRPr="003011AD">
          <w:rPr>
            <w:rStyle w:val="Hiperpovezava"/>
            <w:rFonts w:cs="Arial"/>
            <w:szCs w:val="20"/>
            <w:lang w:val="sl-SI" w:eastAsia="en-GB"/>
          </w:rPr>
          <w:t>Uradni list EU L, 2024/243</w:t>
        </w:r>
      </w:hyperlink>
      <w:r w:rsidRPr="003011AD">
        <w:rPr>
          <w:rFonts w:cs="Arial"/>
          <w:szCs w:val="20"/>
          <w:lang w:val="sl-SI" w:eastAsia="en-GB"/>
        </w:rPr>
        <w:t>, 15.1.2024</w:t>
      </w:r>
      <w:r>
        <w:rPr>
          <w:rFonts w:cs="Arial"/>
          <w:szCs w:val="20"/>
          <w:lang w:val="sl-SI" w:eastAsia="en-GB"/>
        </w:rPr>
        <w:t>; v nadaljnjem besedilu: Priporočilo št. 1/2023). P</w:t>
      </w:r>
      <w:r w:rsidRPr="003011AD">
        <w:rPr>
          <w:rFonts w:cs="Arial"/>
          <w:szCs w:val="20"/>
          <w:lang w:val="sl-SI" w:eastAsia="en-GB"/>
        </w:rPr>
        <w:t xml:space="preserve">riporočilo št. 1/2023 se bo </w:t>
      </w:r>
      <w:r w:rsidRPr="008543D7">
        <w:rPr>
          <w:rFonts w:cs="Arial"/>
          <w:szCs w:val="20"/>
          <w:lang w:val="sl-SI" w:eastAsia="en-GB"/>
        </w:rPr>
        <w:t>uporabljalo predvidoma</w:t>
      </w:r>
      <w:r>
        <w:rPr>
          <w:rFonts w:cs="Arial"/>
          <w:szCs w:val="20"/>
          <w:lang w:val="sl-SI" w:eastAsia="en-GB"/>
        </w:rPr>
        <w:t xml:space="preserve"> </w:t>
      </w:r>
      <w:r w:rsidRPr="003011AD">
        <w:rPr>
          <w:rFonts w:cs="Arial"/>
          <w:szCs w:val="20"/>
          <w:lang w:val="sl-SI" w:eastAsia="en-GB"/>
        </w:rPr>
        <w:t xml:space="preserve">do </w:t>
      </w:r>
      <w:r>
        <w:rPr>
          <w:rFonts w:cs="Arial"/>
          <w:szCs w:val="20"/>
          <w:lang w:val="sl-SI" w:eastAsia="en-GB"/>
        </w:rPr>
        <w:t xml:space="preserve">začetka uporabe </w:t>
      </w:r>
      <w:r w:rsidRPr="003011AD">
        <w:rPr>
          <w:rFonts w:cs="Arial"/>
          <w:szCs w:val="20"/>
          <w:lang w:val="sl-SI" w:eastAsia="en-GB"/>
        </w:rPr>
        <w:t xml:space="preserve">revidirane </w:t>
      </w:r>
      <w:r>
        <w:rPr>
          <w:rFonts w:cs="Arial"/>
          <w:szCs w:val="20"/>
          <w:lang w:val="sl-SI" w:eastAsia="en-GB"/>
        </w:rPr>
        <w:t>PEM k</w:t>
      </w:r>
      <w:r w:rsidRPr="003011AD">
        <w:rPr>
          <w:rFonts w:cs="Arial"/>
          <w:szCs w:val="20"/>
          <w:lang w:val="sl-SI" w:eastAsia="en-GB"/>
        </w:rPr>
        <w:t>onvencije</w:t>
      </w:r>
      <w:r>
        <w:rPr>
          <w:rFonts w:cs="Arial"/>
          <w:szCs w:val="20"/>
          <w:lang w:val="sl-SI" w:eastAsia="en-GB"/>
        </w:rPr>
        <w:t xml:space="preserve"> </w:t>
      </w:r>
      <w:r w:rsidRPr="003011AD">
        <w:rPr>
          <w:rFonts w:cs="Arial"/>
          <w:szCs w:val="20"/>
          <w:lang w:val="sl-SI" w:eastAsia="en-GB"/>
        </w:rPr>
        <w:t xml:space="preserve"> (</w:t>
      </w:r>
      <w:hyperlink r:id="rId15" w:history="1">
        <w:r w:rsidRPr="00D4693D">
          <w:rPr>
            <w:rStyle w:val="Hiperpovezava"/>
            <w:rFonts w:cs="Arial"/>
            <w:szCs w:val="20"/>
            <w:lang w:val="sl-SI" w:eastAsia="en-GB"/>
          </w:rPr>
          <w:t>Uradni list EU L, 2024/390</w:t>
        </w:r>
      </w:hyperlink>
      <w:r w:rsidRPr="003011AD">
        <w:rPr>
          <w:rFonts w:cs="Arial"/>
          <w:szCs w:val="20"/>
          <w:lang w:val="sl-SI" w:eastAsia="en-GB"/>
        </w:rPr>
        <w:t>, 19.2.2024</w:t>
      </w:r>
      <w:r>
        <w:rPr>
          <w:rFonts w:cs="Arial"/>
          <w:szCs w:val="20"/>
          <w:lang w:val="sl-SI" w:eastAsia="en-GB"/>
        </w:rPr>
        <w:t>), to je do vključno 31. 12. 2024.</w:t>
      </w:r>
    </w:p>
    <w:p w14:paraId="7B09120F" w14:textId="77777777" w:rsidR="008543D7" w:rsidRDefault="008543D7" w:rsidP="008543D7">
      <w:pPr>
        <w:spacing w:line="60" w:lineRule="atLeast"/>
        <w:contextualSpacing/>
        <w:jc w:val="both"/>
        <w:rPr>
          <w:rFonts w:cs="Arial"/>
          <w:szCs w:val="20"/>
          <w:lang w:val="sl-SI" w:eastAsia="en-GB"/>
        </w:rPr>
      </w:pPr>
    </w:p>
    <w:p w14:paraId="2606B652" w14:textId="77777777" w:rsidR="008543D7" w:rsidRDefault="00000000" w:rsidP="008543D7">
      <w:pPr>
        <w:spacing w:line="60" w:lineRule="atLeast"/>
        <w:contextualSpacing/>
        <w:jc w:val="both"/>
        <w:rPr>
          <w:rFonts w:cs="Arial"/>
          <w:szCs w:val="20"/>
          <w:lang w:val="sl-SI" w:eastAsia="en-GB"/>
        </w:rPr>
      </w:pPr>
      <w:r>
        <w:rPr>
          <w:rFonts w:cs="Arial"/>
          <w:szCs w:val="20"/>
          <w:lang w:val="sl-SI" w:eastAsia="en-GB"/>
        </w:rPr>
        <w:t>V Priporočilu št. 1/2023 je navedeno, da pogodbenice sprejmejo potrdila o gibanju blaga, izdana v elektronski obliki in predložena ob uvozu, pod pogoji, da:</w:t>
      </w:r>
    </w:p>
    <w:p w14:paraId="6A8D3EC7" w14:textId="77777777" w:rsidR="008543D7" w:rsidRDefault="00000000" w:rsidP="008543D7">
      <w:pPr>
        <w:pStyle w:val="Odstavekseznama"/>
        <w:numPr>
          <w:ilvl w:val="0"/>
          <w:numId w:val="6"/>
        </w:numPr>
        <w:spacing w:line="60" w:lineRule="atLeast"/>
        <w:jc w:val="both"/>
        <w:rPr>
          <w:rFonts w:cs="Arial"/>
          <w:szCs w:val="20"/>
          <w:lang w:val="sl-SI" w:eastAsia="en-GB"/>
        </w:rPr>
      </w:pPr>
      <w:r>
        <w:rPr>
          <w:rFonts w:cs="Arial"/>
          <w:szCs w:val="20"/>
          <w:lang w:val="sl-SI" w:eastAsia="en-GB"/>
        </w:rPr>
        <w:t>imajo elektronsko izdana potrdila o gibanju blaga podobno obliko kot vzorec, opisan v Prilogah IIIa in IIIb Dodatka I k PEM konvenciji,</w:t>
      </w:r>
    </w:p>
    <w:p w14:paraId="47AE5413" w14:textId="77777777" w:rsidR="008543D7" w:rsidRDefault="00000000" w:rsidP="008543D7">
      <w:pPr>
        <w:pStyle w:val="Odstavekseznama"/>
        <w:numPr>
          <w:ilvl w:val="0"/>
          <w:numId w:val="6"/>
        </w:numPr>
        <w:spacing w:line="60" w:lineRule="atLeast"/>
        <w:jc w:val="both"/>
        <w:rPr>
          <w:rFonts w:cs="Arial"/>
          <w:szCs w:val="20"/>
          <w:lang w:val="sl-SI" w:eastAsia="en-GB"/>
        </w:rPr>
      </w:pPr>
      <w:r>
        <w:rPr>
          <w:rFonts w:cs="Arial"/>
          <w:szCs w:val="20"/>
          <w:lang w:val="sl-SI" w:eastAsia="en-GB"/>
        </w:rPr>
        <w:t>carinski organi pogodbenice izvoznice zagotovijo varen spletni sistem za preverjanje verodostojnosti elektronsko izdanih potrdil o gibanju blaga, kadar niso izpolnjena navodila za tiskanje iz Prilog IIIa in IIIb (npr. obrazec nima ozadja s tiskanim zelenim vzorcem giljoše, ročnega žiga ali lastnoročnega podpisa),</w:t>
      </w:r>
    </w:p>
    <w:p w14:paraId="05DC3971" w14:textId="77777777" w:rsidR="008543D7" w:rsidRDefault="00000000" w:rsidP="008543D7">
      <w:pPr>
        <w:pStyle w:val="Odstavekseznama"/>
        <w:numPr>
          <w:ilvl w:val="0"/>
          <w:numId w:val="6"/>
        </w:numPr>
        <w:spacing w:line="60" w:lineRule="atLeast"/>
        <w:jc w:val="both"/>
        <w:rPr>
          <w:rFonts w:cs="Arial"/>
          <w:szCs w:val="20"/>
          <w:lang w:val="sl-SI" w:eastAsia="en-GB"/>
        </w:rPr>
      </w:pPr>
      <w:r>
        <w:rPr>
          <w:rFonts w:cs="Arial"/>
          <w:szCs w:val="20"/>
          <w:lang w:val="sl-SI" w:eastAsia="en-GB"/>
        </w:rPr>
        <w:t>imajo elektronsko izdana potrdila o gibanju blaga edinstveno serijsko številko in, če so na voljo, varnostne elemente, s katerimi jih je mogoče identificirati, ter</w:t>
      </w:r>
    </w:p>
    <w:p w14:paraId="6C94640A" w14:textId="77777777" w:rsidR="008543D7" w:rsidRPr="00183DED" w:rsidRDefault="00000000" w:rsidP="008543D7">
      <w:pPr>
        <w:pStyle w:val="Odstavekseznama"/>
        <w:numPr>
          <w:ilvl w:val="0"/>
          <w:numId w:val="6"/>
        </w:numPr>
        <w:spacing w:line="60" w:lineRule="atLeast"/>
        <w:jc w:val="both"/>
        <w:rPr>
          <w:rFonts w:cs="Arial"/>
          <w:szCs w:val="20"/>
          <w:lang w:val="sl-SI" w:eastAsia="en-GB"/>
        </w:rPr>
      </w:pPr>
      <w:r>
        <w:rPr>
          <w:rFonts w:cs="Arial"/>
          <w:szCs w:val="20"/>
          <w:lang w:val="sl-SI" w:eastAsia="en-GB"/>
        </w:rPr>
        <w:t xml:space="preserve">je datum, </w:t>
      </w:r>
      <w:bookmarkStart w:id="2" w:name="_Hlk162422309"/>
      <w:r>
        <w:rPr>
          <w:rFonts w:cs="Arial"/>
          <w:szCs w:val="20"/>
          <w:lang w:val="sl-SI" w:eastAsia="en-GB"/>
        </w:rPr>
        <w:t xml:space="preserve">od katerega pogodbenica začne izdajati elektronska potrdila o gibanju blaga, </w:t>
      </w:r>
      <w:bookmarkEnd w:id="2"/>
      <w:r>
        <w:rPr>
          <w:rFonts w:cs="Arial"/>
          <w:szCs w:val="20"/>
          <w:lang w:val="sl-SI" w:eastAsia="en-GB"/>
        </w:rPr>
        <w:t xml:space="preserve">določen v objavljenih obvestilih v Uradnem listu Evropske unije (serija C) in je v skladu z lastnimi postopki v pogodbenicah. </w:t>
      </w:r>
    </w:p>
    <w:p w14:paraId="13CEB21F" w14:textId="77777777" w:rsidR="008543D7" w:rsidRDefault="008543D7" w:rsidP="008543D7">
      <w:pPr>
        <w:spacing w:line="60" w:lineRule="atLeast"/>
        <w:contextualSpacing/>
        <w:jc w:val="both"/>
        <w:rPr>
          <w:rFonts w:cs="Arial"/>
          <w:szCs w:val="20"/>
          <w:lang w:val="sl-SI" w:eastAsia="en-GB"/>
        </w:rPr>
      </w:pPr>
    </w:p>
    <w:p w14:paraId="7B9404AF" w14:textId="77777777" w:rsidR="008543D7" w:rsidRDefault="00000000" w:rsidP="008543D7">
      <w:pPr>
        <w:spacing w:line="60" w:lineRule="atLeast"/>
        <w:contextualSpacing/>
        <w:jc w:val="both"/>
        <w:rPr>
          <w:rFonts w:cs="Arial"/>
          <w:szCs w:val="20"/>
          <w:lang w:val="sl-SI" w:eastAsia="en-GB"/>
        </w:rPr>
      </w:pPr>
      <w:r w:rsidRPr="00183DED">
        <w:rPr>
          <w:rFonts w:cs="Arial"/>
          <w:szCs w:val="20"/>
          <w:lang w:val="sl-SI" w:eastAsia="en-GB"/>
        </w:rPr>
        <w:t>Pogodbenica se lahko odloči začasno prenehati priznavati elektronsko izdana potrdila o gibanju blaga, če zgoraj navedeni pogoji niso izpolnjeni, in o tem vnaprej obvesti druge pogodbenice prek sekretariata Skupnega odbora. V primeru začasnega prenehanja se v obvestilih iz točke d) navede datum začetka začasnega prenehanja.</w:t>
      </w:r>
    </w:p>
    <w:p w14:paraId="78849AF7" w14:textId="77777777" w:rsidR="008543D7" w:rsidRDefault="008543D7" w:rsidP="008543D7">
      <w:pPr>
        <w:spacing w:line="60" w:lineRule="atLeast"/>
        <w:contextualSpacing/>
        <w:jc w:val="both"/>
        <w:rPr>
          <w:rFonts w:cs="Arial"/>
          <w:szCs w:val="20"/>
          <w:lang w:val="sl-SI" w:eastAsia="en-GB"/>
        </w:rPr>
      </w:pPr>
    </w:p>
    <w:p w14:paraId="1239FD6E" w14:textId="77777777" w:rsidR="008543D7" w:rsidRPr="008543D7" w:rsidRDefault="00000000" w:rsidP="008543D7">
      <w:pPr>
        <w:spacing w:line="60" w:lineRule="atLeast"/>
        <w:contextualSpacing/>
        <w:jc w:val="both"/>
        <w:rPr>
          <w:rFonts w:cs="Arial"/>
          <w:szCs w:val="20"/>
          <w:lang w:val="sl-SI" w:eastAsia="en-GB"/>
        </w:rPr>
      </w:pPr>
      <w:r w:rsidRPr="008543D7">
        <w:rPr>
          <w:rFonts w:cs="Arial"/>
          <w:szCs w:val="20"/>
          <w:lang w:val="sl-SI" w:eastAsia="en-GB"/>
        </w:rPr>
        <w:t xml:space="preserve">V zvezi s točko d) pojasnjujemo, da bo Evropska komisija preko obvestil v Uradnem listu EU obveščala gospodarske subjekte o datumu, od katerega bodo posamične pogodbenice PEM konvencije začele izdajati potrdila o gibanju blaga v elektronski obliki oziroma o datumu začasnega prenehanja priznavanja elektronsko izdanih potrdil o gibanju blaga na način, da bo te informacije vključila v obvestila Komisije o možnosti diagonalne kumulacije v okviru obstoječih PEM pravil (zadnje tovrstno obvestilo Komisije je bilo dne 22. 2. 2024 objavljeno v </w:t>
      </w:r>
      <w:hyperlink r:id="rId16" w:history="1">
        <w:r w:rsidRPr="008543D7">
          <w:rPr>
            <w:rStyle w:val="Hiperpovezava"/>
            <w:rFonts w:cs="Arial"/>
            <w:szCs w:val="20"/>
            <w:lang w:val="sl-SI" w:eastAsia="en-GB"/>
          </w:rPr>
          <w:t>Uradnem listu EU C, C/2024/1623</w:t>
        </w:r>
      </w:hyperlink>
      <w:r w:rsidRPr="008543D7">
        <w:rPr>
          <w:rFonts w:cs="Arial"/>
          <w:szCs w:val="20"/>
          <w:lang w:val="sl-SI" w:eastAsia="en-GB"/>
        </w:rPr>
        <w:t xml:space="preserve">, vendar pa te informacije še niso bile vključene v zadevno obvestilo). </w:t>
      </w:r>
    </w:p>
    <w:p w14:paraId="55BC16A3" w14:textId="77777777" w:rsidR="008543D7" w:rsidRPr="008543D7" w:rsidRDefault="008543D7" w:rsidP="008543D7">
      <w:pPr>
        <w:spacing w:line="60" w:lineRule="atLeast"/>
        <w:contextualSpacing/>
        <w:jc w:val="both"/>
        <w:rPr>
          <w:rFonts w:cs="Arial"/>
          <w:szCs w:val="20"/>
          <w:lang w:val="sl-SI" w:eastAsia="en-GB"/>
        </w:rPr>
      </w:pPr>
    </w:p>
    <w:p w14:paraId="2BBD5577" w14:textId="77777777" w:rsidR="008543D7" w:rsidRDefault="00000000" w:rsidP="008543D7">
      <w:pPr>
        <w:spacing w:line="60" w:lineRule="atLeast"/>
        <w:contextualSpacing/>
        <w:jc w:val="both"/>
        <w:rPr>
          <w:rFonts w:cs="Arial"/>
          <w:szCs w:val="20"/>
          <w:lang w:val="sl-SI" w:eastAsia="en-GB"/>
        </w:rPr>
      </w:pPr>
      <w:r w:rsidRPr="008543D7">
        <w:rPr>
          <w:rFonts w:cs="Arial"/>
          <w:szCs w:val="20"/>
          <w:lang w:val="sl-SI" w:eastAsia="en-GB"/>
        </w:rPr>
        <w:t>V zvezi z začasno opustitvijo Informativnega obvestila št. 1 s 1. 5. 2024 je treba pojasniti še, da ni  predvidenega prehodnega obdobja. Navedeno pomeni, da v primeru, ko bo potrdilo o gibanju blaga izdano elektronsko pred 1. 5. 2024, carinskim organom države članice EU pa bo predloženo po tem datumu, elektronsko izdano potrdilo o gibanju blaga ni več sprejemljivo na podlagi Informativnega obvestila št. 1 in se lahko zavrne zaradi »tehničnih razlogov«. Lahko pa se uporabi druga pravna podlaga v okviru obstoječih PEM pravil za pogodbenice PEM sistema (Priporočilo št. 1/2023). Primer: v praksi se trenutno sprejemajo potrdila o gibanju blaga, izdana elektronsko v Turčiji in na Norveškem. Na dan 1. 5. 2024 ali po tem datumu ta potrdila o gibanju blaga, izdana elektronsko v Turčiji ali na Norveškem, ne bodo več sprejemljiva v EU, če v Uradnem listu EU (serija C) v skladu s Priporočilom št. 1/2023 ne bo objavljen datum, od katerega Turčija in Norveška začneta izdajati elektronska potrdila o gibanju blaga, ki pa ne sme biti kasnejši od datuma predložitve elektronskega potrdila o gibanju blaga v EU. Za pogodbenice izven PEM sistema (npr. Peru, Čile, Mehika) na dan 1.5.2024 ali po tem datumu tovrstna elektronsko izdana potrdila ne bodo več sprejemljiva v EU.</w:t>
      </w:r>
      <w:r>
        <w:rPr>
          <w:rFonts w:cs="Arial"/>
          <w:szCs w:val="20"/>
          <w:lang w:val="sl-SI" w:eastAsia="en-GB"/>
        </w:rPr>
        <w:t xml:space="preserve"> </w:t>
      </w:r>
    </w:p>
    <w:p w14:paraId="19847F70" w14:textId="77777777" w:rsidR="007E6DC5" w:rsidRPr="008543D7" w:rsidRDefault="007E6DC5" w:rsidP="008543D7">
      <w:pPr>
        <w:jc w:val="both"/>
        <w:rPr>
          <w:lang w:val="sl-SI"/>
        </w:rPr>
      </w:pPr>
    </w:p>
    <w:sectPr w:rsidR="007E6DC5" w:rsidRPr="008543D7" w:rsidSect="00F0025B">
      <w:headerReference w:type="even" r:id="rId17"/>
      <w:headerReference w:type="default" r:id="rId18"/>
      <w:footerReference w:type="even" r:id="rId19"/>
      <w:footerReference w:type="default" r:id="rId20"/>
      <w:headerReference w:type="first" r:id="rId21"/>
      <w:footerReference w:type="first" r:id="rId22"/>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6E70" w14:textId="77777777" w:rsidR="00411946" w:rsidRDefault="00411946">
      <w:pPr>
        <w:spacing w:line="240" w:lineRule="auto"/>
      </w:pPr>
      <w:r>
        <w:separator/>
      </w:r>
    </w:p>
  </w:endnote>
  <w:endnote w:type="continuationSeparator" w:id="0">
    <w:p w14:paraId="60869ED6" w14:textId="77777777" w:rsidR="00411946" w:rsidRDefault="00411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7B63"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19D1" w14:textId="77777777" w:rsidR="000B0B21"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0F6B" w14:textId="77777777" w:rsidR="000B0B21"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C252" w14:textId="77777777" w:rsidR="00411946" w:rsidRDefault="00411946">
      <w:pPr>
        <w:spacing w:line="240" w:lineRule="auto"/>
      </w:pPr>
      <w:r>
        <w:separator/>
      </w:r>
    </w:p>
  </w:footnote>
  <w:footnote w:type="continuationSeparator" w:id="0">
    <w:p w14:paraId="4991D6E4" w14:textId="77777777" w:rsidR="00411946" w:rsidRDefault="004119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69F7"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698C"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1739E" w14:paraId="2F315038" w14:textId="77777777">
      <w:trPr>
        <w:cantSplit/>
        <w:trHeight w:hRule="exact" w:val="847"/>
      </w:trPr>
      <w:tc>
        <w:tcPr>
          <w:tcW w:w="567" w:type="dxa"/>
        </w:tcPr>
        <w:p w14:paraId="351A5E24" w14:textId="77777777" w:rsidR="000B0B21"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F9A5508" w14:textId="77777777" w:rsidR="000B0B21" w:rsidRPr="006D42D9" w:rsidRDefault="000B0B21" w:rsidP="006D42D9">
          <w:pPr>
            <w:rPr>
              <w:rFonts w:ascii="Republika" w:hAnsi="Republika"/>
              <w:sz w:val="60"/>
              <w:szCs w:val="60"/>
              <w:lang w:val="sl-SI"/>
            </w:rPr>
          </w:pPr>
        </w:p>
        <w:p w14:paraId="6EBCF875" w14:textId="77777777" w:rsidR="000B0B21" w:rsidRPr="006D42D9" w:rsidRDefault="000B0B21" w:rsidP="006D42D9">
          <w:pPr>
            <w:rPr>
              <w:rFonts w:ascii="Republika" w:hAnsi="Republika"/>
              <w:sz w:val="60"/>
              <w:szCs w:val="60"/>
              <w:lang w:val="sl-SI"/>
            </w:rPr>
          </w:pPr>
        </w:p>
        <w:p w14:paraId="62949790" w14:textId="77777777" w:rsidR="000B0B21" w:rsidRPr="006D42D9" w:rsidRDefault="000B0B21" w:rsidP="006D42D9">
          <w:pPr>
            <w:rPr>
              <w:rFonts w:ascii="Republika" w:hAnsi="Republika"/>
              <w:sz w:val="60"/>
              <w:szCs w:val="60"/>
              <w:lang w:val="sl-SI"/>
            </w:rPr>
          </w:pPr>
        </w:p>
        <w:p w14:paraId="79876146" w14:textId="77777777" w:rsidR="000B0B21" w:rsidRPr="006D42D9" w:rsidRDefault="000B0B21" w:rsidP="006D42D9">
          <w:pPr>
            <w:rPr>
              <w:rFonts w:ascii="Republika" w:hAnsi="Republika"/>
              <w:sz w:val="60"/>
              <w:szCs w:val="60"/>
              <w:lang w:val="sl-SI"/>
            </w:rPr>
          </w:pPr>
        </w:p>
        <w:p w14:paraId="59ABC532" w14:textId="77777777" w:rsidR="000B0B21" w:rsidRPr="006D42D9" w:rsidRDefault="000B0B21" w:rsidP="006D42D9">
          <w:pPr>
            <w:rPr>
              <w:rFonts w:ascii="Republika" w:hAnsi="Republika"/>
              <w:sz w:val="60"/>
              <w:szCs w:val="60"/>
              <w:lang w:val="sl-SI"/>
            </w:rPr>
          </w:pPr>
        </w:p>
        <w:p w14:paraId="2DB8F84A" w14:textId="77777777" w:rsidR="000B0B21" w:rsidRPr="006D42D9" w:rsidRDefault="000B0B21" w:rsidP="006D42D9">
          <w:pPr>
            <w:rPr>
              <w:rFonts w:ascii="Republika" w:hAnsi="Republika"/>
              <w:sz w:val="60"/>
              <w:szCs w:val="60"/>
              <w:lang w:val="sl-SI"/>
            </w:rPr>
          </w:pPr>
        </w:p>
        <w:p w14:paraId="2C1A02A7" w14:textId="77777777" w:rsidR="000B0B21" w:rsidRPr="006D42D9" w:rsidRDefault="000B0B21" w:rsidP="006D42D9">
          <w:pPr>
            <w:rPr>
              <w:rFonts w:ascii="Republika" w:hAnsi="Republika"/>
              <w:sz w:val="60"/>
              <w:szCs w:val="60"/>
              <w:lang w:val="sl-SI"/>
            </w:rPr>
          </w:pPr>
        </w:p>
        <w:p w14:paraId="7CE49D5A" w14:textId="77777777" w:rsidR="000B0B21" w:rsidRPr="006D42D9" w:rsidRDefault="000B0B21" w:rsidP="006D42D9">
          <w:pPr>
            <w:rPr>
              <w:rFonts w:ascii="Republika" w:hAnsi="Republika"/>
              <w:sz w:val="60"/>
              <w:szCs w:val="60"/>
              <w:lang w:val="sl-SI"/>
            </w:rPr>
          </w:pPr>
        </w:p>
        <w:p w14:paraId="697579FB" w14:textId="77777777" w:rsidR="000B0B21" w:rsidRPr="006D42D9" w:rsidRDefault="000B0B21" w:rsidP="006D42D9">
          <w:pPr>
            <w:rPr>
              <w:rFonts w:ascii="Republika" w:hAnsi="Republika"/>
              <w:sz w:val="60"/>
              <w:szCs w:val="60"/>
              <w:lang w:val="sl-SI"/>
            </w:rPr>
          </w:pPr>
        </w:p>
        <w:p w14:paraId="5AD58ECA" w14:textId="77777777" w:rsidR="000B0B21" w:rsidRPr="006D42D9" w:rsidRDefault="000B0B21" w:rsidP="006D42D9">
          <w:pPr>
            <w:rPr>
              <w:rFonts w:ascii="Republika" w:hAnsi="Republika"/>
              <w:sz w:val="60"/>
              <w:szCs w:val="60"/>
              <w:lang w:val="sl-SI"/>
            </w:rPr>
          </w:pPr>
        </w:p>
        <w:p w14:paraId="4DD3B7D8" w14:textId="77777777" w:rsidR="000B0B21" w:rsidRPr="006D42D9" w:rsidRDefault="000B0B21" w:rsidP="006D42D9">
          <w:pPr>
            <w:rPr>
              <w:rFonts w:ascii="Republika" w:hAnsi="Republika"/>
              <w:sz w:val="60"/>
              <w:szCs w:val="60"/>
              <w:lang w:val="sl-SI"/>
            </w:rPr>
          </w:pPr>
        </w:p>
        <w:p w14:paraId="4E40B8DA" w14:textId="77777777" w:rsidR="000B0B21" w:rsidRPr="006D42D9" w:rsidRDefault="000B0B21" w:rsidP="006D42D9">
          <w:pPr>
            <w:rPr>
              <w:rFonts w:ascii="Republika" w:hAnsi="Republika"/>
              <w:sz w:val="60"/>
              <w:szCs w:val="60"/>
              <w:lang w:val="sl-SI"/>
            </w:rPr>
          </w:pPr>
        </w:p>
        <w:p w14:paraId="240065CE" w14:textId="77777777" w:rsidR="000B0B21" w:rsidRPr="006D42D9" w:rsidRDefault="000B0B21" w:rsidP="006D42D9">
          <w:pPr>
            <w:rPr>
              <w:rFonts w:ascii="Republika" w:hAnsi="Republika"/>
              <w:sz w:val="60"/>
              <w:szCs w:val="60"/>
              <w:lang w:val="sl-SI"/>
            </w:rPr>
          </w:pPr>
        </w:p>
        <w:p w14:paraId="3E4E44D0" w14:textId="77777777" w:rsidR="000B0B21" w:rsidRPr="006D42D9" w:rsidRDefault="000B0B21" w:rsidP="006D42D9">
          <w:pPr>
            <w:rPr>
              <w:rFonts w:ascii="Republika" w:hAnsi="Republika"/>
              <w:sz w:val="60"/>
              <w:szCs w:val="60"/>
              <w:lang w:val="sl-SI"/>
            </w:rPr>
          </w:pPr>
        </w:p>
        <w:p w14:paraId="5BB2A325" w14:textId="77777777" w:rsidR="000B0B21" w:rsidRPr="006D42D9" w:rsidRDefault="000B0B21" w:rsidP="006D42D9">
          <w:pPr>
            <w:rPr>
              <w:rFonts w:ascii="Republika" w:hAnsi="Republika"/>
              <w:sz w:val="60"/>
              <w:szCs w:val="60"/>
              <w:lang w:val="sl-SI"/>
            </w:rPr>
          </w:pPr>
        </w:p>
        <w:p w14:paraId="6F29BC7F" w14:textId="77777777" w:rsidR="000B0B21" w:rsidRPr="006D42D9" w:rsidRDefault="000B0B21" w:rsidP="006D42D9">
          <w:pPr>
            <w:rPr>
              <w:rFonts w:ascii="Republika" w:hAnsi="Republika"/>
              <w:sz w:val="60"/>
              <w:szCs w:val="60"/>
              <w:lang w:val="sl-SI"/>
            </w:rPr>
          </w:pPr>
        </w:p>
      </w:tc>
    </w:tr>
  </w:tbl>
  <w:p w14:paraId="11DF4665" w14:textId="77777777" w:rsidR="000B0B21" w:rsidRPr="008F3500" w:rsidRDefault="00000000"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5B949D31" wp14:editId="6F5F42F4">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3D9C4032" w14:textId="77777777" w:rsidR="000B0B21" w:rsidRPr="00FD746A" w:rsidRDefault="00000000"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2E579E26" w14:textId="77777777" w:rsidR="00ED7E82" w:rsidRDefault="0000000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725AE56D" w14:textId="77777777" w:rsidR="005254D1" w:rsidRPr="00A12D5C" w:rsidRDefault="00000000"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24208DB2" w14:textId="77777777" w:rsidR="005254D1" w:rsidRPr="008F3500" w:rsidRDefault="00000000"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FE8AC53"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C27AAA4"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48CA4226"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E227708">
      <w:start w:val="1"/>
      <w:numFmt w:val="decimal"/>
      <w:lvlText w:val="%1."/>
      <w:lvlJc w:val="left"/>
      <w:pPr>
        <w:tabs>
          <w:tab w:val="num" w:pos="1080"/>
        </w:tabs>
        <w:ind w:left="1080" w:hanging="360"/>
      </w:pPr>
      <w:rPr>
        <w:rFonts w:hint="default"/>
      </w:rPr>
    </w:lvl>
    <w:lvl w:ilvl="1" w:tplc="130E588C" w:tentative="1">
      <w:start w:val="1"/>
      <w:numFmt w:val="lowerLetter"/>
      <w:lvlText w:val="%2."/>
      <w:lvlJc w:val="left"/>
      <w:pPr>
        <w:ind w:left="1800" w:hanging="360"/>
      </w:pPr>
    </w:lvl>
    <w:lvl w:ilvl="2" w:tplc="6F58E742" w:tentative="1">
      <w:start w:val="1"/>
      <w:numFmt w:val="lowerRoman"/>
      <w:lvlText w:val="%3."/>
      <w:lvlJc w:val="right"/>
      <w:pPr>
        <w:ind w:left="2520" w:hanging="180"/>
      </w:pPr>
    </w:lvl>
    <w:lvl w:ilvl="3" w:tplc="61AC6EF2" w:tentative="1">
      <w:start w:val="1"/>
      <w:numFmt w:val="decimal"/>
      <w:lvlText w:val="%4."/>
      <w:lvlJc w:val="left"/>
      <w:pPr>
        <w:ind w:left="3240" w:hanging="360"/>
      </w:pPr>
    </w:lvl>
    <w:lvl w:ilvl="4" w:tplc="ACB29472" w:tentative="1">
      <w:start w:val="1"/>
      <w:numFmt w:val="lowerLetter"/>
      <w:lvlText w:val="%5."/>
      <w:lvlJc w:val="left"/>
      <w:pPr>
        <w:ind w:left="3960" w:hanging="360"/>
      </w:pPr>
    </w:lvl>
    <w:lvl w:ilvl="5" w:tplc="6D76C5BE" w:tentative="1">
      <w:start w:val="1"/>
      <w:numFmt w:val="lowerRoman"/>
      <w:lvlText w:val="%6."/>
      <w:lvlJc w:val="right"/>
      <w:pPr>
        <w:ind w:left="4680" w:hanging="180"/>
      </w:pPr>
    </w:lvl>
    <w:lvl w:ilvl="6" w:tplc="A248353A" w:tentative="1">
      <w:start w:val="1"/>
      <w:numFmt w:val="decimal"/>
      <w:lvlText w:val="%7."/>
      <w:lvlJc w:val="left"/>
      <w:pPr>
        <w:ind w:left="5400" w:hanging="360"/>
      </w:pPr>
    </w:lvl>
    <w:lvl w:ilvl="7" w:tplc="3E2217EA" w:tentative="1">
      <w:start w:val="1"/>
      <w:numFmt w:val="lowerLetter"/>
      <w:lvlText w:val="%8."/>
      <w:lvlJc w:val="left"/>
      <w:pPr>
        <w:ind w:left="6120" w:hanging="360"/>
      </w:pPr>
    </w:lvl>
    <w:lvl w:ilvl="8" w:tplc="B1407E4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CF58F736">
      <w:start w:val="1"/>
      <w:numFmt w:val="decimal"/>
      <w:lvlText w:val="%1."/>
      <w:lvlJc w:val="left"/>
      <w:pPr>
        <w:tabs>
          <w:tab w:val="num" w:pos="360"/>
        </w:tabs>
        <w:ind w:left="360" w:hanging="360"/>
      </w:pPr>
      <w:rPr>
        <w:rFonts w:hint="default"/>
      </w:rPr>
    </w:lvl>
    <w:lvl w:ilvl="1" w:tplc="5E320FB2" w:tentative="1">
      <w:start w:val="1"/>
      <w:numFmt w:val="lowerLetter"/>
      <w:lvlText w:val="%2."/>
      <w:lvlJc w:val="left"/>
      <w:pPr>
        <w:ind w:left="1080" w:hanging="360"/>
      </w:pPr>
    </w:lvl>
    <w:lvl w:ilvl="2" w:tplc="62E459B8" w:tentative="1">
      <w:start w:val="1"/>
      <w:numFmt w:val="lowerRoman"/>
      <w:lvlText w:val="%3."/>
      <w:lvlJc w:val="right"/>
      <w:pPr>
        <w:ind w:left="1800" w:hanging="180"/>
      </w:pPr>
    </w:lvl>
    <w:lvl w:ilvl="3" w:tplc="3F309FFC" w:tentative="1">
      <w:start w:val="1"/>
      <w:numFmt w:val="decimal"/>
      <w:lvlText w:val="%4."/>
      <w:lvlJc w:val="left"/>
      <w:pPr>
        <w:ind w:left="2520" w:hanging="360"/>
      </w:pPr>
    </w:lvl>
    <w:lvl w:ilvl="4" w:tplc="05F6F7DC" w:tentative="1">
      <w:start w:val="1"/>
      <w:numFmt w:val="lowerLetter"/>
      <w:lvlText w:val="%5."/>
      <w:lvlJc w:val="left"/>
      <w:pPr>
        <w:ind w:left="3240" w:hanging="360"/>
      </w:pPr>
    </w:lvl>
    <w:lvl w:ilvl="5" w:tplc="60D0A162" w:tentative="1">
      <w:start w:val="1"/>
      <w:numFmt w:val="lowerRoman"/>
      <w:lvlText w:val="%6."/>
      <w:lvlJc w:val="right"/>
      <w:pPr>
        <w:ind w:left="3960" w:hanging="180"/>
      </w:pPr>
    </w:lvl>
    <w:lvl w:ilvl="6" w:tplc="9B5C96EA" w:tentative="1">
      <w:start w:val="1"/>
      <w:numFmt w:val="decimal"/>
      <w:lvlText w:val="%7."/>
      <w:lvlJc w:val="left"/>
      <w:pPr>
        <w:ind w:left="4680" w:hanging="360"/>
      </w:pPr>
    </w:lvl>
    <w:lvl w:ilvl="7" w:tplc="20803CF0" w:tentative="1">
      <w:start w:val="1"/>
      <w:numFmt w:val="lowerLetter"/>
      <w:lvlText w:val="%8."/>
      <w:lvlJc w:val="left"/>
      <w:pPr>
        <w:ind w:left="5400" w:hanging="360"/>
      </w:pPr>
    </w:lvl>
    <w:lvl w:ilvl="8" w:tplc="21BED65C"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FA787F30">
      <w:start w:val="1"/>
      <w:numFmt w:val="decimal"/>
      <w:lvlText w:val="%1."/>
      <w:lvlJc w:val="left"/>
      <w:pPr>
        <w:tabs>
          <w:tab w:val="num" w:pos="720"/>
        </w:tabs>
        <w:ind w:left="720" w:hanging="360"/>
      </w:pPr>
      <w:rPr>
        <w:rFonts w:hint="default"/>
      </w:rPr>
    </w:lvl>
    <w:lvl w:ilvl="1" w:tplc="D408C55E" w:tentative="1">
      <w:start w:val="1"/>
      <w:numFmt w:val="lowerLetter"/>
      <w:lvlText w:val="%2."/>
      <w:lvlJc w:val="left"/>
      <w:pPr>
        <w:tabs>
          <w:tab w:val="num" w:pos="1440"/>
        </w:tabs>
        <w:ind w:left="1440" w:hanging="360"/>
      </w:pPr>
    </w:lvl>
    <w:lvl w:ilvl="2" w:tplc="5EAEAE28" w:tentative="1">
      <w:start w:val="1"/>
      <w:numFmt w:val="lowerRoman"/>
      <w:lvlText w:val="%3."/>
      <w:lvlJc w:val="right"/>
      <w:pPr>
        <w:tabs>
          <w:tab w:val="num" w:pos="2160"/>
        </w:tabs>
        <w:ind w:left="2160" w:hanging="180"/>
      </w:pPr>
    </w:lvl>
    <w:lvl w:ilvl="3" w:tplc="AE80EB84" w:tentative="1">
      <w:start w:val="1"/>
      <w:numFmt w:val="decimal"/>
      <w:lvlText w:val="%4."/>
      <w:lvlJc w:val="left"/>
      <w:pPr>
        <w:tabs>
          <w:tab w:val="num" w:pos="2880"/>
        </w:tabs>
        <w:ind w:left="2880" w:hanging="360"/>
      </w:pPr>
    </w:lvl>
    <w:lvl w:ilvl="4" w:tplc="AF3C273A" w:tentative="1">
      <w:start w:val="1"/>
      <w:numFmt w:val="lowerLetter"/>
      <w:lvlText w:val="%5."/>
      <w:lvlJc w:val="left"/>
      <w:pPr>
        <w:tabs>
          <w:tab w:val="num" w:pos="3600"/>
        </w:tabs>
        <w:ind w:left="3600" w:hanging="360"/>
      </w:pPr>
    </w:lvl>
    <w:lvl w:ilvl="5" w:tplc="34CE2404" w:tentative="1">
      <w:start w:val="1"/>
      <w:numFmt w:val="lowerRoman"/>
      <w:lvlText w:val="%6."/>
      <w:lvlJc w:val="right"/>
      <w:pPr>
        <w:tabs>
          <w:tab w:val="num" w:pos="4320"/>
        </w:tabs>
        <w:ind w:left="4320" w:hanging="180"/>
      </w:pPr>
    </w:lvl>
    <w:lvl w:ilvl="6" w:tplc="F17A6486" w:tentative="1">
      <w:start w:val="1"/>
      <w:numFmt w:val="decimal"/>
      <w:lvlText w:val="%7."/>
      <w:lvlJc w:val="left"/>
      <w:pPr>
        <w:tabs>
          <w:tab w:val="num" w:pos="5040"/>
        </w:tabs>
        <w:ind w:left="5040" w:hanging="360"/>
      </w:pPr>
    </w:lvl>
    <w:lvl w:ilvl="7" w:tplc="C5E218CE" w:tentative="1">
      <w:start w:val="1"/>
      <w:numFmt w:val="lowerLetter"/>
      <w:lvlText w:val="%8."/>
      <w:lvlJc w:val="left"/>
      <w:pPr>
        <w:tabs>
          <w:tab w:val="num" w:pos="5760"/>
        </w:tabs>
        <w:ind w:left="5760" w:hanging="360"/>
      </w:pPr>
    </w:lvl>
    <w:lvl w:ilvl="8" w:tplc="FF3C6144"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7AB23D3"/>
    <w:multiLevelType w:val="hybridMultilevel"/>
    <w:tmpl w:val="6CB25C5C"/>
    <w:lvl w:ilvl="0" w:tplc="4536A010">
      <w:start w:val="1"/>
      <w:numFmt w:val="lowerLetter"/>
      <w:lvlText w:val="%1)"/>
      <w:lvlJc w:val="left"/>
      <w:pPr>
        <w:ind w:left="420" w:hanging="360"/>
      </w:pPr>
      <w:rPr>
        <w:rFonts w:ascii="Arial" w:eastAsia="Times New Roman" w:hAnsi="Arial" w:cs="Arial"/>
      </w:rPr>
    </w:lvl>
    <w:lvl w:ilvl="1" w:tplc="F9164E50" w:tentative="1">
      <w:start w:val="1"/>
      <w:numFmt w:val="bullet"/>
      <w:lvlText w:val="o"/>
      <w:lvlJc w:val="left"/>
      <w:pPr>
        <w:ind w:left="1140" w:hanging="360"/>
      </w:pPr>
      <w:rPr>
        <w:rFonts w:ascii="Courier New" w:hAnsi="Courier New" w:cs="Courier New" w:hint="default"/>
      </w:rPr>
    </w:lvl>
    <w:lvl w:ilvl="2" w:tplc="A4968682" w:tentative="1">
      <w:start w:val="1"/>
      <w:numFmt w:val="bullet"/>
      <w:lvlText w:val=""/>
      <w:lvlJc w:val="left"/>
      <w:pPr>
        <w:ind w:left="1860" w:hanging="360"/>
      </w:pPr>
      <w:rPr>
        <w:rFonts w:ascii="Wingdings" w:hAnsi="Wingdings" w:hint="default"/>
      </w:rPr>
    </w:lvl>
    <w:lvl w:ilvl="3" w:tplc="A3547596" w:tentative="1">
      <w:start w:val="1"/>
      <w:numFmt w:val="bullet"/>
      <w:lvlText w:val=""/>
      <w:lvlJc w:val="left"/>
      <w:pPr>
        <w:ind w:left="2580" w:hanging="360"/>
      </w:pPr>
      <w:rPr>
        <w:rFonts w:ascii="Symbol" w:hAnsi="Symbol" w:hint="default"/>
      </w:rPr>
    </w:lvl>
    <w:lvl w:ilvl="4" w:tplc="6A0A7CA6" w:tentative="1">
      <w:start w:val="1"/>
      <w:numFmt w:val="bullet"/>
      <w:lvlText w:val="o"/>
      <w:lvlJc w:val="left"/>
      <w:pPr>
        <w:ind w:left="3300" w:hanging="360"/>
      </w:pPr>
      <w:rPr>
        <w:rFonts w:ascii="Courier New" w:hAnsi="Courier New" w:cs="Courier New" w:hint="default"/>
      </w:rPr>
    </w:lvl>
    <w:lvl w:ilvl="5" w:tplc="820682F0" w:tentative="1">
      <w:start w:val="1"/>
      <w:numFmt w:val="bullet"/>
      <w:lvlText w:val=""/>
      <w:lvlJc w:val="left"/>
      <w:pPr>
        <w:ind w:left="4020" w:hanging="360"/>
      </w:pPr>
      <w:rPr>
        <w:rFonts w:ascii="Wingdings" w:hAnsi="Wingdings" w:hint="default"/>
      </w:rPr>
    </w:lvl>
    <w:lvl w:ilvl="6" w:tplc="D2CEC120" w:tentative="1">
      <w:start w:val="1"/>
      <w:numFmt w:val="bullet"/>
      <w:lvlText w:val=""/>
      <w:lvlJc w:val="left"/>
      <w:pPr>
        <w:ind w:left="4740" w:hanging="360"/>
      </w:pPr>
      <w:rPr>
        <w:rFonts w:ascii="Symbol" w:hAnsi="Symbol" w:hint="default"/>
      </w:rPr>
    </w:lvl>
    <w:lvl w:ilvl="7" w:tplc="7F1E1254" w:tentative="1">
      <w:start w:val="1"/>
      <w:numFmt w:val="bullet"/>
      <w:lvlText w:val="o"/>
      <w:lvlJc w:val="left"/>
      <w:pPr>
        <w:ind w:left="5460" w:hanging="360"/>
      </w:pPr>
      <w:rPr>
        <w:rFonts w:ascii="Courier New" w:hAnsi="Courier New" w:cs="Courier New" w:hint="default"/>
      </w:rPr>
    </w:lvl>
    <w:lvl w:ilvl="8" w:tplc="8DE2BD7A" w:tentative="1">
      <w:start w:val="1"/>
      <w:numFmt w:val="bullet"/>
      <w:lvlText w:val=""/>
      <w:lvlJc w:val="left"/>
      <w:pPr>
        <w:ind w:left="6180" w:hanging="360"/>
      </w:pPr>
      <w:rPr>
        <w:rFonts w:ascii="Wingdings" w:hAnsi="Wingdings" w:hint="default"/>
      </w:rPr>
    </w:lvl>
  </w:abstractNum>
  <w:abstractNum w:abstractNumId="5" w15:restartNumberingAfterBreak="0">
    <w:nsid w:val="63AA4C44"/>
    <w:multiLevelType w:val="hybridMultilevel"/>
    <w:tmpl w:val="092E92F6"/>
    <w:lvl w:ilvl="0" w:tplc="B1F245F4">
      <w:start w:val="1"/>
      <w:numFmt w:val="decimal"/>
      <w:lvlText w:val="%1."/>
      <w:lvlJc w:val="left"/>
      <w:pPr>
        <w:tabs>
          <w:tab w:val="num" w:pos="720"/>
        </w:tabs>
        <w:ind w:left="720" w:hanging="360"/>
      </w:pPr>
    </w:lvl>
    <w:lvl w:ilvl="1" w:tplc="FF145F14" w:tentative="1">
      <w:start w:val="1"/>
      <w:numFmt w:val="lowerLetter"/>
      <w:lvlText w:val="%2."/>
      <w:lvlJc w:val="left"/>
      <w:pPr>
        <w:tabs>
          <w:tab w:val="num" w:pos="1440"/>
        </w:tabs>
        <w:ind w:left="1440" w:hanging="360"/>
      </w:pPr>
    </w:lvl>
    <w:lvl w:ilvl="2" w:tplc="F7589C84" w:tentative="1">
      <w:start w:val="1"/>
      <w:numFmt w:val="lowerRoman"/>
      <w:lvlText w:val="%3."/>
      <w:lvlJc w:val="right"/>
      <w:pPr>
        <w:tabs>
          <w:tab w:val="num" w:pos="2160"/>
        </w:tabs>
        <w:ind w:left="2160" w:hanging="180"/>
      </w:pPr>
    </w:lvl>
    <w:lvl w:ilvl="3" w:tplc="EA4E6272" w:tentative="1">
      <w:start w:val="1"/>
      <w:numFmt w:val="decimal"/>
      <w:lvlText w:val="%4."/>
      <w:lvlJc w:val="left"/>
      <w:pPr>
        <w:tabs>
          <w:tab w:val="num" w:pos="2880"/>
        </w:tabs>
        <w:ind w:left="2880" w:hanging="360"/>
      </w:pPr>
    </w:lvl>
    <w:lvl w:ilvl="4" w:tplc="47EA6ACA" w:tentative="1">
      <w:start w:val="1"/>
      <w:numFmt w:val="lowerLetter"/>
      <w:lvlText w:val="%5."/>
      <w:lvlJc w:val="left"/>
      <w:pPr>
        <w:tabs>
          <w:tab w:val="num" w:pos="3600"/>
        </w:tabs>
        <w:ind w:left="3600" w:hanging="360"/>
      </w:pPr>
    </w:lvl>
    <w:lvl w:ilvl="5" w:tplc="5A12DE50" w:tentative="1">
      <w:start w:val="1"/>
      <w:numFmt w:val="lowerRoman"/>
      <w:lvlText w:val="%6."/>
      <w:lvlJc w:val="right"/>
      <w:pPr>
        <w:tabs>
          <w:tab w:val="num" w:pos="4320"/>
        </w:tabs>
        <w:ind w:left="4320" w:hanging="180"/>
      </w:pPr>
    </w:lvl>
    <w:lvl w:ilvl="6" w:tplc="519A13A6" w:tentative="1">
      <w:start w:val="1"/>
      <w:numFmt w:val="decimal"/>
      <w:lvlText w:val="%7."/>
      <w:lvlJc w:val="left"/>
      <w:pPr>
        <w:tabs>
          <w:tab w:val="num" w:pos="5040"/>
        </w:tabs>
        <w:ind w:left="5040" w:hanging="360"/>
      </w:pPr>
    </w:lvl>
    <w:lvl w:ilvl="7" w:tplc="2A601E64" w:tentative="1">
      <w:start w:val="1"/>
      <w:numFmt w:val="lowerLetter"/>
      <w:lvlText w:val="%8."/>
      <w:lvlJc w:val="left"/>
      <w:pPr>
        <w:tabs>
          <w:tab w:val="num" w:pos="5760"/>
        </w:tabs>
        <w:ind w:left="5760" w:hanging="360"/>
      </w:pPr>
    </w:lvl>
    <w:lvl w:ilvl="8" w:tplc="368614AE" w:tentative="1">
      <w:start w:val="1"/>
      <w:numFmt w:val="lowerRoman"/>
      <w:lvlText w:val="%9."/>
      <w:lvlJc w:val="right"/>
      <w:pPr>
        <w:tabs>
          <w:tab w:val="num" w:pos="6480"/>
        </w:tabs>
        <w:ind w:left="6480" w:hanging="180"/>
      </w:pPr>
    </w:lvl>
  </w:abstractNum>
  <w:num w:numId="1" w16cid:durableId="2146969133">
    <w:abstractNumId w:val="5"/>
  </w:num>
  <w:num w:numId="2" w16cid:durableId="511383165">
    <w:abstractNumId w:val="2"/>
  </w:num>
  <w:num w:numId="3" w16cid:durableId="1824151929">
    <w:abstractNumId w:val="3"/>
  </w:num>
  <w:num w:numId="4" w16cid:durableId="1102605714">
    <w:abstractNumId w:val="0"/>
  </w:num>
  <w:num w:numId="5" w16cid:durableId="2136556720">
    <w:abstractNumId w:val="1"/>
  </w:num>
  <w:num w:numId="6" w16cid:durableId="1034890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27DA"/>
    <w:rsid w:val="000063FF"/>
    <w:rsid w:val="000206AE"/>
    <w:rsid w:val="00023A88"/>
    <w:rsid w:val="000636E1"/>
    <w:rsid w:val="0008352D"/>
    <w:rsid w:val="000A07CE"/>
    <w:rsid w:val="000A2C92"/>
    <w:rsid w:val="000A7238"/>
    <w:rsid w:val="000B0B21"/>
    <w:rsid w:val="000D08A9"/>
    <w:rsid w:val="000E2F2B"/>
    <w:rsid w:val="000E7875"/>
    <w:rsid w:val="000F3D38"/>
    <w:rsid w:val="00110CBD"/>
    <w:rsid w:val="00123D7D"/>
    <w:rsid w:val="001357B2"/>
    <w:rsid w:val="00151388"/>
    <w:rsid w:val="00151872"/>
    <w:rsid w:val="00160E5F"/>
    <w:rsid w:val="00183DED"/>
    <w:rsid w:val="001A3BA5"/>
    <w:rsid w:val="001F3B21"/>
    <w:rsid w:val="001F7BC0"/>
    <w:rsid w:val="00202A77"/>
    <w:rsid w:val="00207DC8"/>
    <w:rsid w:val="00230F3E"/>
    <w:rsid w:val="00232E47"/>
    <w:rsid w:val="0024583F"/>
    <w:rsid w:val="00261D80"/>
    <w:rsid w:val="00261D99"/>
    <w:rsid w:val="00262960"/>
    <w:rsid w:val="00271CE5"/>
    <w:rsid w:val="00282020"/>
    <w:rsid w:val="00282A2F"/>
    <w:rsid w:val="00285890"/>
    <w:rsid w:val="002934F1"/>
    <w:rsid w:val="00296D93"/>
    <w:rsid w:val="00297F27"/>
    <w:rsid w:val="002A4B44"/>
    <w:rsid w:val="002B1118"/>
    <w:rsid w:val="002C7EEB"/>
    <w:rsid w:val="002F1662"/>
    <w:rsid w:val="003011AD"/>
    <w:rsid w:val="00304726"/>
    <w:rsid w:val="00315D82"/>
    <w:rsid w:val="00352109"/>
    <w:rsid w:val="003636BF"/>
    <w:rsid w:val="00370AA7"/>
    <w:rsid w:val="00371034"/>
    <w:rsid w:val="0037479F"/>
    <w:rsid w:val="00377950"/>
    <w:rsid w:val="003828AD"/>
    <w:rsid w:val="003845B4"/>
    <w:rsid w:val="00387B1A"/>
    <w:rsid w:val="0039148F"/>
    <w:rsid w:val="003B5CF4"/>
    <w:rsid w:val="003C28AA"/>
    <w:rsid w:val="003C3B1D"/>
    <w:rsid w:val="003C54D8"/>
    <w:rsid w:val="003D0306"/>
    <w:rsid w:val="003E1C74"/>
    <w:rsid w:val="003E7E9E"/>
    <w:rsid w:val="003F4966"/>
    <w:rsid w:val="00411946"/>
    <w:rsid w:val="00423EC1"/>
    <w:rsid w:val="00464335"/>
    <w:rsid w:val="00480506"/>
    <w:rsid w:val="00484A06"/>
    <w:rsid w:val="004A2490"/>
    <w:rsid w:val="004A4233"/>
    <w:rsid w:val="004A6A59"/>
    <w:rsid w:val="004B160E"/>
    <w:rsid w:val="004E3584"/>
    <w:rsid w:val="004F561D"/>
    <w:rsid w:val="0050296F"/>
    <w:rsid w:val="005149DF"/>
    <w:rsid w:val="005177DF"/>
    <w:rsid w:val="005254D1"/>
    <w:rsid w:val="00525C18"/>
    <w:rsid w:val="00526246"/>
    <w:rsid w:val="00532C59"/>
    <w:rsid w:val="0055206D"/>
    <w:rsid w:val="00567106"/>
    <w:rsid w:val="005709F2"/>
    <w:rsid w:val="00586507"/>
    <w:rsid w:val="005916E5"/>
    <w:rsid w:val="005B0438"/>
    <w:rsid w:val="005E1D3C"/>
    <w:rsid w:val="006268BE"/>
    <w:rsid w:val="00632253"/>
    <w:rsid w:val="00642714"/>
    <w:rsid w:val="00643C4E"/>
    <w:rsid w:val="006455CE"/>
    <w:rsid w:val="00694B33"/>
    <w:rsid w:val="006C4AE3"/>
    <w:rsid w:val="006D42D9"/>
    <w:rsid w:val="006F142E"/>
    <w:rsid w:val="00726463"/>
    <w:rsid w:val="00733017"/>
    <w:rsid w:val="00751D38"/>
    <w:rsid w:val="00775FED"/>
    <w:rsid w:val="00780335"/>
    <w:rsid w:val="00783310"/>
    <w:rsid w:val="00794B95"/>
    <w:rsid w:val="00794E63"/>
    <w:rsid w:val="007A4A6D"/>
    <w:rsid w:val="007D05C8"/>
    <w:rsid w:val="007D1BCF"/>
    <w:rsid w:val="007D75CF"/>
    <w:rsid w:val="007E6DC5"/>
    <w:rsid w:val="007F1F7B"/>
    <w:rsid w:val="008078F7"/>
    <w:rsid w:val="0081739E"/>
    <w:rsid w:val="008349B6"/>
    <w:rsid w:val="008543D7"/>
    <w:rsid w:val="0088043C"/>
    <w:rsid w:val="008906C9"/>
    <w:rsid w:val="008A5918"/>
    <w:rsid w:val="008B2E72"/>
    <w:rsid w:val="008C00F2"/>
    <w:rsid w:val="008C5738"/>
    <w:rsid w:val="008D04F0"/>
    <w:rsid w:val="008E1660"/>
    <w:rsid w:val="008E25DF"/>
    <w:rsid w:val="008E2D84"/>
    <w:rsid w:val="008F3500"/>
    <w:rsid w:val="008F482D"/>
    <w:rsid w:val="009022B3"/>
    <w:rsid w:val="00924E3C"/>
    <w:rsid w:val="00925A8B"/>
    <w:rsid w:val="009612BB"/>
    <w:rsid w:val="00961F7C"/>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05DE"/>
    <w:rsid w:val="00AC56FF"/>
    <w:rsid w:val="00AC5C16"/>
    <w:rsid w:val="00AD5A5B"/>
    <w:rsid w:val="00AE1792"/>
    <w:rsid w:val="00AE2D7F"/>
    <w:rsid w:val="00AF7BF9"/>
    <w:rsid w:val="00B011EA"/>
    <w:rsid w:val="00B038B1"/>
    <w:rsid w:val="00B17141"/>
    <w:rsid w:val="00B31575"/>
    <w:rsid w:val="00B62CE5"/>
    <w:rsid w:val="00B63BD4"/>
    <w:rsid w:val="00B653A6"/>
    <w:rsid w:val="00B677B6"/>
    <w:rsid w:val="00B8547D"/>
    <w:rsid w:val="00BC2517"/>
    <w:rsid w:val="00BC61EF"/>
    <w:rsid w:val="00BE423F"/>
    <w:rsid w:val="00BF75C5"/>
    <w:rsid w:val="00C1397D"/>
    <w:rsid w:val="00C250D5"/>
    <w:rsid w:val="00C47F8D"/>
    <w:rsid w:val="00C5171C"/>
    <w:rsid w:val="00C52DAE"/>
    <w:rsid w:val="00C57EED"/>
    <w:rsid w:val="00C81391"/>
    <w:rsid w:val="00C92898"/>
    <w:rsid w:val="00C94D6B"/>
    <w:rsid w:val="00C97222"/>
    <w:rsid w:val="00CA28CB"/>
    <w:rsid w:val="00CE7514"/>
    <w:rsid w:val="00D248DE"/>
    <w:rsid w:val="00D25427"/>
    <w:rsid w:val="00D31B74"/>
    <w:rsid w:val="00D3564D"/>
    <w:rsid w:val="00D4693D"/>
    <w:rsid w:val="00D8542D"/>
    <w:rsid w:val="00D92705"/>
    <w:rsid w:val="00D966A8"/>
    <w:rsid w:val="00DB11E1"/>
    <w:rsid w:val="00DB4E6F"/>
    <w:rsid w:val="00DC62F6"/>
    <w:rsid w:val="00DC6A71"/>
    <w:rsid w:val="00DD6CC3"/>
    <w:rsid w:val="00DE5B46"/>
    <w:rsid w:val="00E0357D"/>
    <w:rsid w:val="00E20A8F"/>
    <w:rsid w:val="00E24EC2"/>
    <w:rsid w:val="00E447E8"/>
    <w:rsid w:val="00E51C0F"/>
    <w:rsid w:val="00E8201C"/>
    <w:rsid w:val="00E94ECF"/>
    <w:rsid w:val="00EA0E3C"/>
    <w:rsid w:val="00ED00D1"/>
    <w:rsid w:val="00ED27F8"/>
    <w:rsid w:val="00ED7E82"/>
    <w:rsid w:val="00EF3280"/>
    <w:rsid w:val="00EF63CC"/>
    <w:rsid w:val="00F0025B"/>
    <w:rsid w:val="00F02E53"/>
    <w:rsid w:val="00F1126C"/>
    <w:rsid w:val="00F12F7D"/>
    <w:rsid w:val="00F240BB"/>
    <w:rsid w:val="00F42CE8"/>
    <w:rsid w:val="00F46724"/>
    <w:rsid w:val="00F47F58"/>
    <w:rsid w:val="00F55F2C"/>
    <w:rsid w:val="00F57FED"/>
    <w:rsid w:val="00F94746"/>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C89594"/>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Odstavekseznama">
    <w:name w:val="List Paragraph"/>
    <w:basedOn w:val="Navaden"/>
    <w:uiPriority w:val="34"/>
    <w:qFormat/>
    <w:rsid w:val="0085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ation-customs.ec.europa.eu/system/files/2020-03/200331-information_note_certificates_en_and_fr.pdf" TargetMode="External"/><Relationship Id="rId13" Type="http://schemas.openxmlformats.org/officeDocument/2006/relationships/hyperlink" Target="https://eur-lex.europa.eu/legal-content/SL/TXT/?uri=uriserv:OJ.L_.2013.054.01.0003.01.SLV&amp;toc=OJ:L:2013:054:TO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axation-customs.ec.europa.eu/document/download/6630ed9f-9e0b-4806-9e86-71e978ba4320_en?filename=covid-19-crisis-exceptional-measures-proofs-of-preferential-origin-non-pem-countries%20%2813-10-2023%29%20%28002%2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lex.europa.eu/legal-content/SL/TXT/?uri=OJ:C_2024016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ation-customs.ec.europa.eu/document/download/807a99ca-91f7-40c8-8234-7609939d3763_en?filename=covid-19-crisis-exceptional-measures-proods-of-preferential-origin-pem-cp.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SL/TXT/?uri=OJ:L_202400390" TargetMode="External"/><Relationship Id="rId23" Type="http://schemas.openxmlformats.org/officeDocument/2006/relationships/fontTable" Target="fontTable.xml"/><Relationship Id="rId10" Type="http://schemas.openxmlformats.org/officeDocument/2006/relationships/hyperlink" Target="https://taxation-customs.ec.europa.eu/document/download/b1c2cf50-393b-4b83-ab77-3d31f58487cc_en?filename=20220901%20-%20covid-19-crisis-exceptional-measures-proods-of-preferential-origin-eu-ms_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xation-customs.ec.europa.eu/covid-19-customs-guidance-trade_en" TargetMode="External"/><Relationship Id="rId14" Type="http://schemas.openxmlformats.org/officeDocument/2006/relationships/hyperlink" Target="https://eur-lex.europa.eu/legal-content/SL/TXT/?uri=OJ:L_202400243"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2</Pages>
  <Words>1217</Words>
  <Characters>6941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Maček</dc:creator>
  <cp:lastModifiedBy>FURS</cp:lastModifiedBy>
  <cp:revision>2</cp:revision>
  <cp:lastPrinted>2010-07-05T10:38:00Z</cp:lastPrinted>
  <dcterms:created xsi:type="dcterms:W3CDTF">2024-04-03T11:34:00Z</dcterms:created>
  <dcterms:modified xsi:type="dcterms:W3CDTF">2024-04-03T11:34:00Z</dcterms:modified>
</cp:coreProperties>
</file>