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7704" w14:textId="77777777" w:rsidR="00CE57CA" w:rsidRDefault="00CE57CA" w:rsidP="00CE57CA">
      <w:pPr>
        <w:pStyle w:val="datumtevilka"/>
        <w:jc w:val="both"/>
      </w:pPr>
    </w:p>
    <w:p w14:paraId="69DECEF5" w14:textId="77777777" w:rsidR="00CE57CA" w:rsidRDefault="00CE57CA" w:rsidP="00CE57CA">
      <w:pPr>
        <w:pStyle w:val="datumtevilka"/>
        <w:jc w:val="both"/>
      </w:pPr>
    </w:p>
    <w:p w14:paraId="11700973" w14:textId="77777777" w:rsidR="007D75CF" w:rsidRPr="00BC2517" w:rsidRDefault="007D75CF" w:rsidP="007D75CF">
      <w:pPr>
        <w:rPr>
          <w:lang w:val="sl-SI"/>
        </w:rPr>
      </w:pPr>
    </w:p>
    <w:p w14:paraId="12273694" w14:textId="77777777" w:rsidR="00CE57CA" w:rsidRDefault="00CE57CA" w:rsidP="00CE57CA">
      <w:pPr>
        <w:pStyle w:val="ZADEVA"/>
        <w:jc w:val="both"/>
        <w:rPr>
          <w:lang w:val="sl-SI"/>
        </w:rPr>
      </w:pPr>
    </w:p>
    <w:p w14:paraId="05658F48" w14:textId="77777777" w:rsidR="00CE57CA" w:rsidRDefault="00CE57CA" w:rsidP="00CE57CA">
      <w:pPr>
        <w:pStyle w:val="ZADEVA"/>
        <w:jc w:val="both"/>
        <w:rPr>
          <w:lang w:val="sl-SI"/>
        </w:rPr>
      </w:pPr>
    </w:p>
    <w:p w14:paraId="24366386" w14:textId="317187E9" w:rsidR="007D75CF" w:rsidRDefault="00000000" w:rsidP="00786C40">
      <w:pPr>
        <w:pStyle w:val="ZADEVA"/>
        <w:tabs>
          <w:tab w:val="clear" w:pos="1701"/>
          <w:tab w:val="left" w:pos="0"/>
        </w:tabs>
        <w:ind w:left="0" w:firstLine="0"/>
        <w:jc w:val="both"/>
        <w:rPr>
          <w:lang w:val="sl-SI"/>
        </w:rPr>
      </w:pPr>
      <w:bookmarkStart w:id="0" w:name="NaslovZadeve"/>
      <w:r w:rsidRPr="00CE57CA">
        <w:rPr>
          <w:lang w:val="sl-SI"/>
        </w:rPr>
        <w:t>Veljavna dokazila o poreklu za izdelke s poreklom iz Gane pri uvozu v EU od 20. avgusta 2023 dalje</w:t>
      </w:r>
      <w:bookmarkEnd w:id="0"/>
    </w:p>
    <w:p w14:paraId="5594BF28" w14:textId="77777777" w:rsidR="00CE57CA" w:rsidRDefault="00CE57CA" w:rsidP="00CE57CA">
      <w:pPr>
        <w:pStyle w:val="ZADEVA"/>
        <w:jc w:val="both"/>
        <w:rPr>
          <w:lang w:val="sl-SI"/>
        </w:rPr>
      </w:pPr>
    </w:p>
    <w:p w14:paraId="46763334" w14:textId="77777777" w:rsidR="00CE57CA" w:rsidRDefault="00CE57CA" w:rsidP="00CE57CA">
      <w:pPr>
        <w:pStyle w:val="ZADEVA"/>
        <w:jc w:val="both"/>
        <w:rPr>
          <w:lang w:val="sl-SI"/>
        </w:rPr>
      </w:pPr>
    </w:p>
    <w:p w14:paraId="3F972B48" w14:textId="77777777" w:rsidR="00CE57CA" w:rsidRDefault="00000000" w:rsidP="00CE57CA">
      <w:pPr>
        <w:widowControl w:val="0"/>
        <w:tabs>
          <w:tab w:val="left" w:pos="425"/>
        </w:tabs>
        <w:autoSpaceDE w:val="0"/>
        <w:autoSpaceDN w:val="0"/>
        <w:adjustRightInd w:val="0"/>
        <w:jc w:val="both"/>
        <w:rPr>
          <w:rFonts w:cs="Arial"/>
          <w:szCs w:val="20"/>
          <w:lang w:val="sl-SI" w:eastAsia="sl-SI"/>
        </w:rPr>
      </w:pPr>
      <w:r w:rsidRPr="002D014A">
        <w:rPr>
          <w:rFonts w:cs="Arial"/>
          <w:szCs w:val="20"/>
          <w:lang w:val="sl-SI" w:eastAsia="sl-SI"/>
        </w:rPr>
        <w:t>Vmesni sporazum o gospodarskem partnerstvu med Gano na eni strani ter Evropsko skupnostjo in njenimi državami članicami na drugi strani</w:t>
      </w:r>
      <w:r>
        <w:rPr>
          <w:rFonts w:cs="Arial"/>
          <w:szCs w:val="20"/>
          <w:lang w:val="sl-SI" w:eastAsia="sl-SI"/>
        </w:rPr>
        <w:t xml:space="preserve"> je bil objavljen v </w:t>
      </w:r>
      <w:hyperlink r:id="rId8" w:history="1">
        <w:r w:rsidRPr="000C7BD8">
          <w:rPr>
            <w:rStyle w:val="Hiperpovezava"/>
            <w:rFonts w:cs="Arial"/>
            <w:szCs w:val="20"/>
            <w:lang w:val="sl-SI" w:eastAsia="sl-SI"/>
          </w:rPr>
          <w:t>Uradnem listu EU L 287</w:t>
        </w:r>
      </w:hyperlink>
      <w:r w:rsidRPr="002D014A">
        <w:rPr>
          <w:rFonts w:cs="Arial"/>
          <w:szCs w:val="20"/>
          <w:lang w:val="sl-SI" w:eastAsia="sl-SI"/>
        </w:rPr>
        <w:t xml:space="preserve">, </w:t>
      </w:r>
      <w:r>
        <w:rPr>
          <w:rFonts w:cs="Arial"/>
          <w:szCs w:val="20"/>
          <w:lang w:val="sl-SI" w:eastAsia="sl-SI"/>
        </w:rPr>
        <w:t xml:space="preserve">z dne </w:t>
      </w:r>
      <w:r w:rsidRPr="002D014A">
        <w:rPr>
          <w:rFonts w:cs="Arial"/>
          <w:szCs w:val="20"/>
          <w:lang w:val="sl-SI" w:eastAsia="sl-SI"/>
        </w:rPr>
        <w:t>21.</w:t>
      </w:r>
      <w:r>
        <w:rPr>
          <w:rFonts w:cs="Arial"/>
          <w:szCs w:val="20"/>
          <w:lang w:val="sl-SI" w:eastAsia="sl-SI"/>
        </w:rPr>
        <w:t xml:space="preserve"> </w:t>
      </w:r>
      <w:r w:rsidRPr="002D014A">
        <w:rPr>
          <w:rFonts w:cs="Arial"/>
          <w:szCs w:val="20"/>
          <w:lang w:val="sl-SI" w:eastAsia="sl-SI"/>
        </w:rPr>
        <w:t>10.</w:t>
      </w:r>
      <w:r>
        <w:rPr>
          <w:rFonts w:cs="Arial"/>
          <w:szCs w:val="20"/>
          <w:lang w:val="sl-SI" w:eastAsia="sl-SI"/>
        </w:rPr>
        <w:t xml:space="preserve"> </w:t>
      </w:r>
      <w:r w:rsidRPr="002D014A">
        <w:rPr>
          <w:rFonts w:cs="Arial"/>
          <w:szCs w:val="20"/>
          <w:lang w:val="sl-SI" w:eastAsia="sl-SI"/>
        </w:rPr>
        <w:t>2016</w:t>
      </w:r>
      <w:r>
        <w:rPr>
          <w:rFonts w:cs="Arial"/>
          <w:szCs w:val="20"/>
          <w:lang w:val="sl-SI" w:eastAsia="sl-SI"/>
        </w:rPr>
        <w:t>.</w:t>
      </w:r>
      <w:r w:rsidRPr="000C7BD8">
        <w:rPr>
          <w:lang w:val="sl-SI"/>
        </w:rPr>
        <w:t xml:space="preserve"> Navedeni </w:t>
      </w:r>
      <w:r w:rsidRPr="000C7BD8">
        <w:rPr>
          <w:rFonts w:cs="Arial"/>
          <w:szCs w:val="20"/>
          <w:lang w:val="sl-SI" w:eastAsia="sl-SI"/>
        </w:rPr>
        <w:t>sporazum ne vsebuje pravil o poreklu blaga</w:t>
      </w:r>
      <w:r>
        <w:rPr>
          <w:rFonts w:cs="Arial"/>
          <w:szCs w:val="20"/>
          <w:lang w:val="sl-SI" w:eastAsia="sl-SI"/>
        </w:rPr>
        <w:t xml:space="preserve">. </w:t>
      </w:r>
      <w:r w:rsidRPr="000C7BD8">
        <w:rPr>
          <w:rFonts w:cs="Arial"/>
          <w:szCs w:val="20"/>
          <w:lang w:val="sl-SI" w:eastAsia="sl-SI"/>
        </w:rPr>
        <w:t xml:space="preserve">V </w:t>
      </w:r>
      <w:hyperlink r:id="rId9" w:history="1">
        <w:r w:rsidRPr="000513F8">
          <w:rPr>
            <w:rStyle w:val="Hiperpovezava"/>
            <w:rFonts w:cs="Arial"/>
            <w:szCs w:val="20"/>
            <w:lang w:val="sl-SI" w:eastAsia="sl-SI"/>
          </w:rPr>
          <w:t>Uradnem listu EU L 350</w:t>
        </w:r>
      </w:hyperlink>
      <w:r w:rsidRPr="000C7BD8">
        <w:rPr>
          <w:rFonts w:cs="Arial"/>
          <w:szCs w:val="20"/>
          <w:lang w:val="sl-SI" w:eastAsia="sl-SI"/>
        </w:rPr>
        <w:t>, z dne 21. 10. 2020, je bil objavljen Sklep št. 1/2020 Odbora SGP, ustanovljenega z Vmesnim sporazumom o gospodarskem partnerstvu med Gano na eni strani ter Evropsko skupnostjo in njenimi državami članicami na drugi strani, z dne 20. avgusta 2020, o sprejetju Protokola št. 1 o opredelitvi pojma »izdelki s poreklom« in načinih upravnega sodelovanja</w:t>
      </w:r>
      <w:r>
        <w:rPr>
          <w:rFonts w:cs="Arial"/>
          <w:szCs w:val="20"/>
          <w:lang w:val="sl-SI" w:eastAsia="sl-SI"/>
        </w:rPr>
        <w:t>.</w:t>
      </w:r>
      <w:r w:rsidRPr="00D855C3">
        <w:rPr>
          <w:rFonts w:cs="Arial"/>
          <w:szCs w:val="20"/>
          <w:lang w:val="sl-SI" w:eastAsia="sl-SI"/>
        </w:rPr>
        <w:t xml:space="preserve"> </w:t>
      </w:r>
      <w:r w:rsidRPr="000C7BD8">
        <w:rPr>
          <w:rFonts w:cs="Arial"/>
          <w:szCs w:val="20"/>
          <w:lang w:val="sl-SI" w:eastAsia="sl-SI"/>
        </w:rPr>
        <w:t>Protokol št. 1 o opredelitvi pojma »izdelki s poreklom« in načinih upravnega sodelovanja</w:t>
      </w:r>
      <w:r>
        <w:rPr>
          <w:rFonts w:cs="Arial"/>
          <w:szCs w:val="20"/>
          <w:lang w:val="sl-SI" w:eastAsia="sl-SI"/>
        </w:rPr>
        <w:t xml:space="preserve"> </w:t>
      </w:r>
      <w:r w:rsidRPr="000C7BD8">
        <w:rPr>
          <w:rFonts w:cs="Arial"/>
          <w:szCs w:val="20"/>
          <w:lang w:val="sl-SI" w:eastAsia="sl-SI"/>
        </w:rPr>
        <w:t>(</w:t>
      </w:r>
      <w:r>
        <w:rPr>
          <w:rFonts w:cs="Arial"/>
          <w:szCs w:val="20"/>
          <w:lang w:val="sl-SI" w:eastAsia="sl-SI"/>
        </w:rPr>
        <w:t xml:space="preserve">v nadaljnjem besedilu: </w:t>
      </w:r>
      <w:r w:rsidRPr="000C7BD8">
        <w:rPr>
          <w:rFonts w:cs="Arial"/>
          <w:szCs w:val="20"/>
          <w:lang w:val="sl-SI" w:eastAsia="sl-SI"/>
        </w:rPr>
        <w:t>Protokol št. 1</w:t>
      </w:r>
      <w:r>
        <w:rPr>
          <w:rFonts w:cs="Arial"/>
          <w:szCs w:val="20"/>
          <w:lang w:val="sl-SI" w:eastAsia="sl-SI"/>
        </w:rPr>
        <w:t>)</w:t>
      </w:r>
      <w:r w:rsidRPr="000C7BD8">
        <w:rPr>
          <w:rFonts w:cs="Arial"/>
          <w:szCs w:val="20"/>
          <w:lang w:val="sl-SI" w:eastAsia="sl-SI"/>
        </w:rPr>
        <w:t xml:space="preserve"> je v Prilogi Sklep</w:t>
      </w:r>
      <w:r>
        <w:rPr>
          <w:rFonts w:cs="Arial"/>
          <w:szCs w:val="20"/>
          <w:lang w:val="sl-SI" w:eastAsia="sl-SI"/>
        </w:rPr>
        <w:t xml:space="preserve">a </w:t>
      </w:r>
      <w:r w:rsidRPr="000C7BD8">
        <w:rPr>
          <w:rFonts w:cs="Arial"/>
          <w:szCs w:val="20"/>
          <w:lang w:val="sl-SI" w:eastAsia="sl-SI"/>
        </w:rPr>
        <w:t>št. 1/2020</w:t>
      </w:r>
      <w:r>
        <w:rPr>
          <w:rFonts w:cs="Arial"/>
          <w:szCs w:val="20"/>
          <w:lang w:val="sl-SI" w:eastAsia="sl-SI"/>
        </w:rPr>
        <w:t xml:space="preserve"> Odbora SGP</w:t>
      </w:r>
      <w:r w:rsidRPr="000C7BD8">
        <w:rPr>
          <w:rFonts w:cs="Arial"/>
          <w:szCs w:val="20"/>
          <w:lang w:val="sl-SI" w:eastAsia="sl-SI"/>
        </w:rPr>
        <w:t xml:space="preserve">. Protokol št. 1 je začel veljati 20. avgusta 2020, kar pomeni, da se od navedenega datuma dalje tako za izvoz iz EU </w:t>
      </w:r>
      <w:r>
        <w:rPr>
          <w:rFonts w:cs="Arial"/>
          <w:szCs w:val="20"/>
          <w:lang w:val="sl-SI" w:eastAsia="sl-SI"/>
        </w:rPr>
        <w:t xml:space="preserve">v Gano </w:t>
      </w:r>
      <w:r w:rsidRPr="000C7BD8">
        <w:rPr>
          <w:rFonts w:cs="Arial"/>
          <w:szCs w:val="20"/>
          <w:lang w:val="sl-SI" w:eastAsia="sl-SI"/>
        </w:rPr>
        <w:t>kot tudi za izvoz iz Gane</w:t>
      </w:r>
      <w:r>
        <w:rPr>
          <w:rFonts w:cs="Arial"/>
          <w:szCs w:val="20"/>
          <w:lang w:val="sl-SI" w:eastAsia="sl-SI"/>
        </w:rPr>
        <w:t xml:space="preserve"> v EU</w:t>
      </w:r>
      <w:r w:rsidRPr="000C7BD8">
        <w:rPr>
          <w:rFonts w:cs="Arial"/>
          <w:szCs w:val="20"/>
          <w:lang w:val="sl-SI" w:eastAsia="sl-SI"/>
        </w:rPr>
        <w:t xml:space="preserve"> uporabljajo pravila o poreklu iz navedenega Protokola št. 1. </w:t>
      </w:r>
    </w:p>
    <w:p w14:paraId="25643762" w14:textId="77777777" w:rsidR="00CE57CA" w:rsidRDefault="00CE57CA" w:rsidP="00CE57CA">
      <w:pPr>
        <w:widowControl w:val="0"/>
        <w:tabs>
          <w:tab w:val="left" w:pos="425"/>
        </w:tabs>
        <w:autoSpaceDE w:val="0"/>
        <w:autoSpaceDN w:val="0"/>
        <w:adjustRightInd w:val="0"/>
        <w:jc w:val="both"/>
        <w:rPr>
          <w:rFonts w:cs="Arial"/>
          <w:szCs w:val="20"/>
          <w:lang w:val="sl-SI" w:eastAsia="sl-SI"/>
        </w:rPr>
      </w:pPr>
    </w:p>
    <w:p w14:paraId="10AD765B" w14:textId="77777777" w:rsidR="00CE57CA" w:rsidRDefault="00000000" w:rsidP="00CE57CA">
      <w:pPr>
        <w:pStyle w:val="ZADEVA"/>
        <w:tabs>
          <w:tab w:val="clear" w:pos="1701"/>
          <w:tab w:val="left" w:pos="0"/>
        </w:tabs>
        <w:ind w:left="0" w:firstLine="0"/>
        <w:jc w:val="both"/>
        <w:rPr>
          <w:b w:val="0"/>
          <w:bCs/>
          <w:lang w:val="sl-SI"/>
        </w:rPr>
      </w:pPr>
      <w:r>
        <w:rPr>
          <w:b w:val="0"/>
          <w:bCs/>
          <w:lang w:val="sl-SI"/>
        </w:rPr>
        <w:t>V skladu s Protokolom št. 1 je veljavno dokazilo o poreklu izjava o poreklu, ki jo za izdelke</w:t>
      </w:r>
      <w:r w:rsidRPr="006E26F1">
        <w:rPr>
          <w:b w:val="0"/>
          <w:bCs/>
          <w:lang w:val="sl-SI"/>
        </w:rPr>
        <w:t xml:space="preserve"> s poreklom iz</w:t>
      </w:r>
      <w:r>
        <w:rPr>
          <w:b w:val="0"/>
          <w:bCs/>
          <w:lang w:val="sl-SI"/>
        </w:rPr>
        <w:t xml:space="preserve"> EU in ob izvozu iz EU v Gano lahko v EU sestavi </w:t>
      </w:r>
      <w:r w:rsidRPr="006E26F1">
        <w:rPr>
          <w:b w:val="0"/>
          <w:bCs/>
          <w:lang w:val="sl-SI"/>
        </w:rPr>
        <w:t xml:space="preserve">izvoznik, registriran v skladu z </w:t>
      </w:r>
      <w:r>
        <w:rPr>
          <w:b w:val="0"/>
          <w:bCs/>
          <w:lang w:val="sl-SI"/>
        </w:rPr>
        <w:t xml:space="preserve">notranjo zakonodajo </w:t>
      </w:r>
      <w:r w:rsidRPr="006E26F1">
        <w:rPr>
          <w:b w:val="0"/>
          <w:bCs/>
          <w:lang w:val="sl-SI"/>
        </w:rPr>
        <w:t>Evropske unije</w:t>
      </w:r>
      <w:r>
        <w:rPr>
          <w:b w:val="0"/>
          <w:bCs/>
          <w:lang w:val="sl-SI"/>
        </w:rPr>
        <w:t xml:space="preserve"> ali </w:t>
      </w:r>
      <w:r w:rsidRPr="006E26F1">
        <w:rPr>
          <w:b w:val="0"/>
          <w:bCs/>
          <w:lang w:val="sl-SI"/>
        </w:rPr>
        <w:t>kateri koli izvoznik za vsako pošiljko, ki jo sestavlja en ali več tovorkov, ki vsebujejo izdelke s poreklom, katerih skupna vrednost ne presega 6 000 EUR</w:t>
      </w:r>
      <w:r>
        <w:rPr>
          <w:b w:val="0"/>
          <w:bCs/>
          <w:lang w:val="sl-SI"/>
        </w:rPr>
        <w:t>. Navedeno pomeni,</w:t>
      </w:r>
      <w:r w:rsidRPr="006E26F1">
        <w:rPr>
          <w:lang w:val="sl-SI"/>
        </w:rPr>
        <w:t xml:space="preserve"> </w:t>
      </w:r>
      <w:r w:rsidRPr="005E5EF1">
        <w:rPr>
          <w:b w:val="0"/>
          <w:bCs/>
          <w:lang w:val="sl-SI"/>
        </w:rPr>
        <w:t>da se</w:t>
      </w:r>
      <w:r>
        <w:rPr>
          <w:lang w:val="sl-SI"/>
        </w:rPr>
        <w:t xml:space="preserve"> </w:t>
      </w:r>
      <w:r w:rsidRPr="006E26F1">
        <w:rPr>
          <w:b w:val="0"/>
          <w:bCs/>
          <w:lang w:val="sl-SI"/>
        </w:rPr>
        <w:t xml:space="preserve">za izvoz iz EU v </w:t>
      </w:r>
      <w:r>
        <w:rPr>
          <w:b w:val="0"/>
          <w:bCs/>
          <w:lang w:val="sl-SI"/>
        </w:rPr>
        <w:t>Gano</w:t>
      </w:r>
      <w:r w:rsidRPr="00BD5E4E">
        <w:rPr>
          <w:b w:val="0"/>
          <w:bCs/>
          <w:lang w:val="sl-SI"/>
        </w:rPr>
        <w:t xml:space="preserve"> </w:t>
      </w:r>
      <w:r>
        <w:rPr>
          <w:b w:val="0"/>
          <w:bCs/>
          <w:lang w:val="sl-SI"/>
        </w:rPr>
        <w:t xml:space="preserve">od začetka veljavnosti Protokola št. 1, to je od 20. avgusta 2020 dalje, </w:t>
      </w:r>
      <w:r w:rsidRPr="006E26F1">
        <w:rPr>
          <w:b w:val="0"/>
          <w:bCs/>
          <w:lang w:val="sl-SI"/>
        </w:rPr>
        <w:t>uporablja sistem RE</w:t>
      </w:r>
      <w:r>
        <w:rPr>
          <w:b w:val="0"/>
          <w:bCs/>
          <w:lang w:val="sl-SI"/>
        </w:rPr>
        <w:t>X.</w:t>
      </w:r>
    </w:p>
    <w:p w14:paraId="69A24D09" w14:textId="77777777" w:rsidR="00CE57CA" w:rsidRDefault="00CE57CA" w:rsidP="00CE57CA">
      <w:pPr>
        <w:pStyle w:val="ZADEVA"/>
        <w:tabs>
          <w:tab w:val="clear" w:pos="1701"/>
          <w:tab w:val="left" w:pos="0"/>
        </w:tabs>
        <w:ind w:left="0" w:firstLine="0"/>
        <w:jc w:val="both"/>
        <w:rPr>
          <w:b w:val="0"/>
          <w:bCs/>
          <w:lang w:val="sl-SI"/>
        </w:rPr>
      </w:pPr>
    </w:p>
    <w:p w14:paraId="12723328" w14:textId="77777777" w:rsidR="00CE57CA" w:rsidRDefault="00000000" w:rsidP="00CE57CA">
      <w:pPr>
        <w:pStyle w:val="ZADEVA"/>
        <w:tabs>
          <w:tab w:val="clear" w:pos="1701"/>
          <w:tab w:val="left" w:pos="0"/>
        </w:tabs>
        <w:ind w:left="0" w:firstLine="0"/>
        <w:jc w:val="both"/>
        <w:rPr>
          <w:b w:val="0"/>
          <w:bCs/>
          <w:lang w:val="sl-SI"/>
        </w:rPr>
      </w:pPr>
      <w:r>
        <w:rPr>
          <w:b w:val="0"/>
          <w:bCs/>
          <w:lang w:val="sl-SI"/>
        </w:rPr>
        <w:t xml:space="preserve">Dne 12. 7. 2023 je bilo v </w:t>
      </w:r>
      <w:hyperlink r:id="rId10" w:history="1">
        <w:r w:rsidRPr="003F79E5">
          <w:rPr>
            <w:rStyle w:val="Hiperpovezava"/>
            <w:b w:val="0"/>
            <w:bCs/>
            <w:lang w:val="sl-SI"/>
          </w:rPr>
          <w:t>Uradnem listu EU C 245</w:t>
        </w:r>
      </w:hyperlink>
      <w:r>
        <w:rPr>
          <w:b w:val="0"/>
          <w:bCs/>
          <w:lang w:val="sl-SI"/>
        </w:rPr>
        <w:t xml:space="preserve"> objavljeno obvestilo o veljavnih dokazilih o poreklu za izdelke s poreklom iz Gane pri uvozu v EU od 20. avgusta 2023 dalje na podlagi vmesnega sporazuma o gospodarskem partnerstvu med EU in Gano. Izdelki </w:t>
      </w:r>
      <w:r w:rsidRPr="00AA15BB">
        <w:rPr>
          <w:b w:val="0"/>
          <w:bCs/>
          <w:lang w:val="sl-SI"/>
        </w:rPr>
        <w:t xml:space="preserve">s poreklom </w:t>
      </w:r>
      <w:r>
        <w:rPr>
          <w:b w:val="0"/>
          <w:bCs/>
          <w:lang w:val="sl-SI"/>
        </w:rPr>
        <w:t>iz Gane so</w:t>
      </w:r>
      <w:r w:rsidRPr="00AA15BB">
        <w:rPr>
          <w:b w:val="0"/>
          <w:bCs/>
          <w:lang w:val="sl-SI"/>
        </w:rPr>
        <w:t xml:space="preserve"> od </w:t>
      </w:r>
      <w:r>
        <w:rPr>
          <w:b w:val="0"/>
          <w:bCs/>
          <w:lang w:val="sl-SI"/>
        </w:rPr>
        <w:t xml:space="preserve">20. avgusta </w:t>
      </w:r>
      <w:r w:rsidRPr="00AA15BB">
        <w:rPr>
          <w:b w:val="0"/>
          <w:bCs/>
          <w:lang w:val="sl-SI"/>
        </w:rPr>
        <w:t xml:space="preserve">2023 dalje </w:t>
      </w:r>
      <w:r>
        <w:rPr>
          <w:b w:val="0"/>
          <w:bCs/>
          <w:lang w:val="sl-SI"/>
        </w:rPr>
        <w:t xml:space="preserve">ob uvozu </w:t>
      </w:r>
      <w:r w:rsidRPr="00AA15BB">
        <w:rPr>
          <w:b w:val="0"/>
          <w:bCs/>
          <w:lang w:val="sl-SI"/>
        </w:rPr>
        <w:t xml:space="preserve">v EU </w:t>
      </w:r>
      <w:r>
        <w:rPr>
          <w:b w:val="0"/>
          <w:bCs/>
          <w:lang w:val="sl-SI"/>
        </w:rPr>
        <w:t>upravičeni do preferencialne tarifne obravnave na podlagi vmesnega sporazuma o gospodarskem partnerstvu samo ob predložitvi izjave o poreklu</w:t>
      </w:r>
      <w:r w:rsidRPr="00AA15BB">
        <w:rPr>
          <w:b w:val="0"/>
          <w:bCs/>
          <w:lang w:val="sl-SI"/>
        </w:rPr>
        <w:t>, ki jo</w:t>
      </w:r>
      <w:r>
        <w:rPr>
          <w:b w:val="0"/>
          <w:bCs/>
          <w:lang w:val="sl-SI"/>
        </w:rPr>
        <w:t xml:space="preserve"> sestavi </w:t>
      </w:r>
      <w:r w:rsidRPr="00AA15BB">
        <w:rPr>
          <w:b w:val="0"/>
          <w:bCs/>
          <w:lang w:val="sl-SI"/>
        </w:rPr>
        <w:t xml:space="preserve">izvoznik </w:t>
      </w:r>
      <w:r>
        <w:rPr>
          <w:b w:val="0"/>
          <w:bCs/>
          <w:lang w:val="sl-SI"/>
        </w:rPr>
        <w:t>iz Gane</w:t>
      </w:r>
      <w:r w:rsidRPr="00AA15BB">
        <w:rPr>
          <w:b w:val="0"/>
          <w:bCs/>
          <w:lang w:val="sl-SI"/>
        </w:rPr>
        <w:t xml:space="preserve">, registriran v </w:t>
      </w:r>
      <w:r>
        <w:rPr>
          <w:b w:val="0"/>
          <w:bCs/>
          <w:lang w:val="sl-SI"/>
        </w:rPr>
        <w:t xml:space="preserve">skladu z ustreznimi določbami ganske zakonodaje </w:t>
      </w:r>
      <w:r w:rsidRPr="00AA15BB">
        <w:rPr>
          <w:b w:val="0"/>
          <w:bCs/>
          <w:lang w:val="sl-SI"/>
        </w:rPr>
        <w:t>ali kateri koli izvoznik</w:t>
      </w:r>
      <w:r>
        <w:rPr>
          <w:b w:val="0"/>
          <w:bCs/>
          <w:lang w:val="sl-SI"/>
        </w:rPr>
        <w:t xml:space="preserve"> iz Gane,</w:t>
      </w:r>
      <w:r w:rsidRPr="00AA15BB">
        <w:rPr>
          <w:b w:val="0"/>
          <w:bCs/>
          <w:lang w:val="sl-SI"/>
        </w:rPr>
        <w:t xml:space="preserve"> če skupna vrednost izdelkov s poreklom v pošiljki ne presega 6 000 EUR.</w:t>
      </w:r>
      <w:r>
        <w:rPr>
          <w:b w:val="0"/>
          <w:bCs/>
          <w:lang w:val="sl-SI"/>
        </w:rPr>
        <w:t xml:space="preserve"> Od 20. avgusta 2023 dalje se odstavka 2(a) in (b) člena 17 ne uporabljata več za uvoz iz Gane v EU. </w:t>
      </w:r>
      <w:r w:rsidRPr="00E64749">
        <w:rPr>
          <w:b w:val="0"/>
          <w:bCs/>
          <w:lang w:val="sl-SI"/>
        </w:rPr>
        <w:t xml:space="preserve">Zato od </w:t>
      </w:r>
      <w:r>
        <w:rPr>
          <w:b w:val="0"/>
          <w:bCs/>
          <w:lang w:val="sl-SI"/>
        </w:rPr>
        <w:t>20</w:t>
      </w:r>
      <w:r w:rsidRPr="00E64749">
        <w:rPr>
          <w:b w:val="0"/>
          <w:bCs/>
          <w:lang w:val="sl-SI"/>
        </w:rPr>
        <w:t xml:space="preserve">. </w:t>
      </w:r>
      <w:r>
        <w:rPr>
          <w:b w:val="0"/>
          <w:bCs/>
          <w:lang w:val="sl-SI"/>
        </w:rPr>
        <w:t>avgusta</w:t>
      </w:r>
      <w:r w:rsidRPr="00E64749">
        <w:rPr>
          <w:b w:val="0"/>
          <w:bCs/>
          <w:lang w:val="sl-SI"/>
        </w:rPr>
        <w:t xml:space="preserve"> 2023 dalje potrdila o gibanju blaga EUR.1, izdana </w:t>
      </w:r>
      <w:r>
        <w:rPr>
          <w:b w:val="0"/>
          <w:bCs/>
          <w:lang w:val="sl-SI"/>
        </w:rPr>
        <w:t>v Gani,</w:t>
      </w:r>
      <w:r w:rsidRPr="00E64749">
        <w:rPr>
          <w:b w:val="0"/>
          <w:bCs/>
          <w:lang w:val="sl-SI"/>
        </w:rPr>
        <w:t xml:space="preserve"> in izjave </w:t>
      </w:r>
      <w:r>
        <w:rPr>
          <w:b w:val="0"/>
          <w:bCs/>
          <w:lang w:val="sl-SI"/>
        </w:rPr>
        <w:t>o poreklu</w:t>
      </w:r>
      <w:r w:rsidRPr="00E64749">
        <w:rPr>
          <w:b w:val="0"/>
          <w:bCs/>
          <w:lang w:val="sl-SI"/>
        </w:rPr>
        <w:t xml:space="preserve">, ki jih </w:t>
      </w:r>
      <w:r>
        <w:rPr>
          <w:b w:val="0"/>
          <w:bCs/>
          <w:lang w:val="sl-SI"/>
        </w:rPr>
        <w:t xml:space="preserve">sestavijo </w:t>
      </w:r>
      <w:r w:rsidRPr="00E64749">
        <w:rPr>
          <w:b w:val="0"/>
          <w:bCs/>
          <w:lang w:val="sl-SI"/>
        </w:rPr>
        <w:t xml:space="preserve">pooblaščeni izvozniki </w:t>
      </w:r>
      <w:r>
        <w:rPr>
          <w:b w:val="0"/>
          <w:bCs/>
          <w:lang w:val="sl-SI"/>
        </w:rPr>
        <w:t>iz Gane po zadevnem datumu</w:t>
      </w:r>
      <w:r w:rsidRPr="00E64749">
        <w:rPr>
          <w:b w:val="0"/>
          <w:bCs/>
          <w:lang w:val="sl-SI"/>
        </w:rPr>
        <w:t xml:space="preserve">, ne </w:t>
      </w:r>
      <w:r>
        <w:rPr>
          <w:b w:val="0"/>
          <w:bCs/>
          <w:lang w:val="sl-SI"/>
        </w:rPr>
        <w:t>veljajo</w:t>
      </w:r>
      <w:r w:rsidRPr="00E64749">
        <w:rPr>
          <w:b w:val="0"/>
          <w:bCs/>
          <w:lang w:val="sl-SI"/>
        </w:rPr>
        <w:t xml:space="preserve"> več za uveljavljanje preferencialne tarifne obravnave na podlagi </w:t>
      </w:r>
      <w:r>
        <w:rPr>
          <w:b w:val="0"/>
          <w:bCs/>
          <w:lang w:val="sl-SI"/>
        </w:rPr>
        <w:t xml:space="preserve">vmesnega sporazuma o gospodarskem partnerstvu </w:t>
      </w:r>
      <w:r w:rsidRPr="00E64749">
        <w:rPr>
          <w:b w:val="0"/>
          <w:bCs/>
          <w:lang w:val="sl-SI"/>
        </w:rPr>
        <w:t xml:space="preserve">in uvozu </w:t>
      </w:r>
      <w:r>
        <w:rPr>
          <w:b w:val="0"/>
          <w:bCs/>
          <w:lang w:val="sl-SI"/>
        </w:rPr>
        <w:t>iz Gane</w:t>
      </w:r>
      <w:r w:rsidRPr="00E64749">
        <w:rPr>
          <w:b w:val="0"/>
          <w:bCs/>
          <w:lang w:val="sl-SI"/>
        </w:rPr>
        <w:t xml:space="preserve"> v EU.</w:t>
      </w:r>
    </w:p>
    <w:p w14:paraId="422133B0" w14:textId="77777777" w:rsidR="00CE57CA" w:rsidRDefault="00CE57CA" w:rsidP="00CE57CA">
      <w:pPr>
        <w:pStyle w:val="ZADEVA"/>
        <w:tabs>
          <w:tab w:val="clear" w:pos="1701"/>
          <w:tab w:val="left" w:pos="0"/>
        </w:tabs>
        <w:ind w:left="0" w:firstLine="0"/>
        <w:jc w:val="both"/>
        <w:rPr>
          <w:b w:val="0"/>
          <w:bCs/>
          <w:lang w:val="sl-SI"/>
        </w:rPr>
      </w:pPr>
    </w:p>
    <w:p w14:paraId="0EC8BC95" w14:textId="77777777" w:rsidR="00CE57CA" w:rsidRDefault="00000000" w:rsidP="00CE57CA">
      <w:pPr>
        <w:pStyle w:val="ZADEVA"/>
        <w:tabs>
          <w:tab w:val="clear" w:pos="1701"/>
          <w:tab w:val="left" w:pos="0"/>
        </w:tabs>
        <w:ind w:left="0" w:firstLine="0"/>
        <w:jc w:val="both"/>
        <w:rPr>
          <w:b w:val="0"/>
          <w:bCs/>
          <w:lang w:val="sl-SI"/>
        </w:rPr>
      </w:pPr>
      <w:r>
        <w:rPr>
          <w:b w:val="0"/>
          <w:bCs/>
          <w:lang w:val="sl-SI"/>
        </w:rPr>
        <w:t xml:space="preserve">V Protokolu št. 1 ni prehodnih določb v zvezi z dokazili o poreklu, ki so bila izdana ali sestavljena pred 20. avgustom 2023 v Gani. Evropska komisija meni, da se izjemoma potrdil o gibanju blaga EUR.1, izdanih v Gani, in izjav o poreklu, ki so jih sestavili pooblaščeni izvozniki iz Gane pred 20. avgustom 2023 in so predložena(-e) ob uvozu v EU po tem datumu v okviru 3-mesečnega prehodnega obdobja, ne bi smelo zavrniti, saj so ta dokazila o poreklu izdana / sestavljena v skladu s postopki, veljavnimi na dan izdaje oziroma sestave teh dokazil o poreklu. </w:t>
      </w:r>
    </w:p>
    <w:p w14:paraId="45F76B35" w14:textId="77777777" w:rsidR="00CE57CA" w:rsidRDefault="00CE57CA" w:rsidP="00CE57CA">
      <w:pPr>
        <w:pStyle w:val="ZADEVA"/>
        <w:tabs>
          <w:tab w:val="clear" w:pos="1701"/>
          <w:tab w:val="left" w:pos="0"/>
        </w:tabs>
        <w:ind w:left="0" w:firstLine="0"/>
        <w:jc w:val="both"/>
        <w:rPr>
          <w:b w:val="0"/>
          <w:bCs/>
          <w:lang w:val="sl-SI"/>
        </w:rPr>
      </w:pPr>
    </w:p>
    <w:p w14:paraId="3FD8AA3E" w14:textId="77777777" w:rsidR="00CE57CA" w:rsidRDefault="00000000" w:rsidP="00CE57CA">
      <w:pPr>
        <w:pStyle w:val="ZADEVA"/>
        <w:tabs>
          <w:tab w:val="clear" w:pos="1701"/>
          <w:tab w:val="left" w:pos="0"/>
        </w:tabs>
        <w:ind w:left="0" w:firstLine="0"/>
        <w:jc w:val="both"/>
        <w:rPr>
          <w:b w:val="0"/>
          <w:bCs/>
          <w:lang w:val="sl-SI"/>
        </w:rPr>
      </w:pPr>
      <w:r>
        <w:rPr>
          <w:b w:val="0"/>
          <w:bCs/>
          <w:lang w:val="sl-SI"/>
        </w:rPr>
        <w:t xml:space="preserve">Evropska komisija zato predlaga naslednje izjeme za dokazila o poreklu, izdana oziroma sestavljena </w:t>
      </w:r>
      <w:r w:rsidRPr="00357FF9">
        <w:rPr>
          <w:i/>
          <w:iCs/>
          <w:lang w:val="sl-SI"/>
        </w:rPr>
        <w:t xml:space="preserve">pred </w:t>
      </w:r>
      <w:r>
        <w:rPr>
          <w:i/>
          <w:iCs/>
          <w:lang w:val="sl-SI"/>
        </w:rPr>
        <w:t>20</w:t>
      </w:r>
      <w:r w:rsidRPr="00357FF9">
        <w:rPr>
          <w:i/>
          <w:iCs/>
          <w:lang w:val="sl-SI"/>
        </w:rPr>
        <w:t xml:space="preserve">. </w:t>
      </w:r>
      <w:r>
        <w:rPr>
          <w:i/>
          <w:iCs/>
          <w:lang w:val="sl-SI"/>
        </w:rPr>
        <w:t>avgustom</w:t>
      </w:r>
      <w:r w:rsidRPr="00357FF9">
        <w:rPr>
          <w:i/>
          <w:iCs/>
          <w:lang w:val="sl-SI"/>
        </w:rPr>
        <w:t xml:space="preserve"> 2023</w:t>
      </w:r>
      <w:r>
        <w:rPr>
          <w:b w:val="0"/>
          <w:bCs/>
          <w:lang w:val="sl-SI"/>
        </w:rPr>
        <w:t xml:space="preserve"> v Gani, na podlagi katerih se v EU zahteva preferencialna tarifna obravnava ob uvozu iz Gane, ki bodo predložena v EU do vključno 19. novembra 2023:</w:t>
      </w:r>
    </w:p>
    <w:p w14:paraId="7607EC21" w14:textId="77777777" w:rsidR="00CE57CA" w:rsidRDefault="00000000" w:rsidP="00CE57CA">
      <w:pPr>
        <w:pStyle w:val="ZADEVA"/>
        <w:numPr>
          <w:ilvl w:val="0"/>
          <w:numId w:val="6"/>
        </w:numPr>
        <w:tabs>
          <w:tab w:val="clear" w:pos="1701"/>
          <w:tab w:val="left" w:pos="0"/>
        </w:tabs>
        <w:jc w:val="both"/>
        <w:rPr>
          <w:b w:val="0"/>
          <w:bCs/>
          <w:lang w:val="sl-SI"/>
        </w:rPr>
      </w:pPr>
      <w:r>
        <w:rPr>
          <w:b w:val="0"/>
          <w:bCs/>
          <w:lang w:val="sl-SI"/>
        </w:rPr>
        <w:t>izdelki, ki se sproščajo v prosti promet, so lahko upravičeni do preferencialne tarifne obravnave, razen če obstajajo drugi razlogi, da se preferencialna tarifna obravnava ne more odobriti, ob upoštevanju morebitnih ukrepov zavarovanja (to je zavarovanje, ki krije razliko med MFN in preferencialno dajatvijo), in</w:t>
      </w:r>
    </w:p>
    <w:p w14:paraId="28FAA580" w14:textId="77777777" w:rsidR="00CE57CA" w:rsidRDefault="00000000" w:rsidP="00CE57CA">
      <w:pPr>
        <w:pStyle w:val="ZADEVA"/>
        <w:numPr>
          <w:ilvl w:val="0"/>
          <w:numId w:val="6"/>
        </w:numPr>
        <w:tabs>
          <w:tab w:val="clear" w:pos="1701"/>
          <w:tab w:val="left" w:pos="0"/>
        </w:tabs>
        <w:jc w:val="both"/>
        <w:rPr>
          <w:b w:val="0"/>
          <w:bCs/>
          <w:lang w:val="sl-SI"/>
        </w:rPr>
      </w:pPr>
      <w:r>
        <w:rPr>
          <w:b w:val="0"/>
          <w:bCs/>
          <w:lang w:val="sl-SI"/>
        </w:rPr>
        <w:t xml:space="preserve">od uvoznikov je treba zahtevati, da v roku treh mesecev od datuma zahtevka za preferencialno tarifno obravnavo pridobijo izjavo o poreklu, veljavno od 20. avgusta 2023 dalje, ki nadomešča predloženo dokazilo o poreklu. </w:t>
      </w:r>
    </w:p>
    <w:p w14:paraId="32ABEE8D" w14:textId="11D39CC4" w:rsidR="00CE57CA" w:rsidRPr="00971C89" w:rsidRDefault="00000000" w:rsidP="00CE57CA">
      <w:pPr>
        <w:pStyle w:val="ZADEVA"/>
        <w:tabs>
          <w:tab w:val="clear" w:pos="1701"/>
          <w:tab w:val="left" w:pos="0"/>
        </w:tabs>
        <w:ind w:left="0" w:firstLine="0"/>
        <w:jc w:val="both"/>
        <w:rPr>
          <w:b w:val="0"/>
          <w:bCs/>
          <w:lang w:val="sl-SI"/>
        </w:rPr>
      </w:pPr>
      <w:r w:rsidRPr="00971C89">
        <w:rPr>
          <w:b w:val="0"/>
          <w:bCs/>
          <w:lang w:val="sl-SI"/>
        </w:rPr>
        <w:t xml:space="preserve">Če do izteka navedenega trimesečnega obdobja ni predložena veljavna izjava </w:t>
      </w:r>
      <w:r>
        <w:rPr>
          <w:b w:val="0"/>
          <w:bCs/>
          <w:lang w:val="sl-SI"/>
        </w:rPr>
        <w:t>o poreklu, se preferencialna tarifna obravnava zavrne.</w:t>
      </w:r>
    </w:p>
    <w:p w14:paraId="08EB62E7" w14:textId="77777777" w:rsidR="00CE57CA" w:rsidRDefault="00CE57CA" w:rsidP="00CE57CA">
      <w:pPr>
        <w:jc w:val="both"/>
        <w:rPr>
          <w:lang w:val="sl-SI"/>
        </w:rPr>
      </w:pPr>
    </w:p>
    <w:p w14:paraId="7A1B17EA" w14:textId="77777777" w:rsidR="00CE57CA" w:rsidRDefault="00CE57CA" w:rsidP="00CE57CA">
      <w:pPr>
        <w:pStyle w:val="ZADEVA"/>
        <w:tabs>
          <w:tab w:val="clear" w:pos="1701"/>
          <w:tab w:val="left" w:pos="0"/>
        </w:tabs>
        <w:ind w:left="0" w:firstLine="0"/>
        <w:jc w:val="both"/>
        <w:rPr>
          <w:b w:val="0"/>
          <w:bCs/>
          <w:lang w:val="sl-SI"/>
        </w:rPr>
      </w:pPr>
    </w:p>
    <w:p w14:paraId="7C717606" w14:textId="7E31C738" w:rsidR="00CE57CA" w:rsidRDefault="00000000" w:rsidP="00CE57CA">
      <w:pPr>
        <w:pStyle w:val="ZADEVA"/>
        <w:tabs>
          <w:tab w:val="clear" w:pos="1701"/>
          <w:tab w:val="left" w:pos="0"/>
        </w:tabs>
        <w:ind w:left="0" w:firstLine="0"/>
        <w:jc w:val="both"/>
        <w:rPr>
          <w:b w:val="0"/>
          <w:bCs/>
          <w:lang w:val="sl-SI"/>
        </w:rPr>
      </w:pPr>
      <w:r w:rsidRPr="00F63B13">
        <w:rPr>
          <w:b w:val="0"/>
          <w:bCs/>
          <w:lang w:val="sl-SI"/>
        </w:rPr>
        <w:t xml:space="preserve"> </w:t>
      </w:r>
    </w:p>
    <w:sectPr w:rsidR="00CE57CA" w:rsidSect="00F0025B">
      <w:headerReference w:type="even" r:id="rId11"/>
      <w:headerReference w:type="default" r:id="rId12"/>
      <w:footerReference w:type="even" r:id="rId13"/>
      <w:footerReference w:type="default" r:id="rId14"/>
      <w:headerReference w:type="first" r:id="rId15"/>
      <w:footerReference w:type="first" r:id="rId16"/>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8FAC" w14:textId="77777777" w:rsidR="00C07700" w:rsidRDefault="00C07700">
      <w:pPr>
        <w:spacing w:line="240" w:lineRule="auto"/>
      </w:pPr>
      <w:r>
        <w:separator/>
      </w:r>
    </w:p>
  </w:endnote>
  <w:endnote w:type="continuationSeparator" w:id="0">
    <w:p w14:paraId="4AC231AF" w14:textId="77777777" w:rsidR="00C07700" w:rsidRDefault="00C07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F9FA"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FD92"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55DA"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48F5" w14:textId="77777777" w:rsidR="00C07700" w:rsidRDefault="00C07700">
      <w:pPr>
        <w:spacing w:line="240" w:lineRule="auto"/>
      </w:pPr>
      <w:r>
        <w:separator/>
      </w:r>
    </w:p>
  </w:footnote>
  <w:footnote w:type="continuationSeparator" w:id="0">
    <w:p w14:paraId="0121E1C0" w14:textId="77777777" w:rsidR="00C07700" w:rsidRDefault="00C07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ED71"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2317"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32A88" w14:paraId="26620F9C" w14:textId="77777777">
      <w:trPr>
        <w:cantSplit/>
        <w:trHeight w:hRule="exact" w:val="847"/>
      </w:trPr>
      <w:tc>
        <w:tcPr>
          <w:tcW w:w="567" w:type="dxa"/>
        </w:tcPr>
        <w:p w14:paraId="1729F425"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F87E16B" w14:textId="77777777" w:rsidR="000B0B21" w:rsidRPr="006D42D9" w:rsidRDefault="000B0B21" w:rsidP="006D42D9">
          <w:pPr>
            <w:rPr>
              <w:rFonts w:ascii="Republika" w:hAnsi="Republika"/>
              <w:sz w:val="60"/>
              <w:szCs w:val="60"/>
              <w:lang w:val="sl-SI"/>
            </w:rPr>
          </w:pPr>
        </w:p>
        <w:p w14:paraId="5ADFA5A1" w14:textId="77777777" w:rsidR="000B0B21" w:rsidRPr="006D42D9" w:rsidRDefault="000B0B21" w:rsidP="006D42D9">
          <w:pPr>
            <w:rPr>
              <w:rFonts w:ascii="Republika" w:hAnsi="Republika"/>
              <w:sz w:val="60"/>
              <w:szCs w:val="60"/>
              <w:lang w:val="sl-SI"/>
            </w:rPr>
          </w:pPr>
        </w:p>
        <w:p w14:paraId="50E1F092" w14:textId="77777777" w:rsidR="000B0B21" w:rsidRPr="006D42D9" w:rsidRDefault="000B0B21" w:rsidP="006D42D9">
          <w:pPr>
            <w:rPr>
              <w:rFonts w:ascii="Republika" w:hAnsi="Republika"/>
              <w:sz w:val="60"/>
              <w:szCs w:val="60"/>
              <w:lang w:val="sl-SI"/>
            </w:rPr>
          </w:pPr>
        </w:p>
        <w:p w14:paraId="06D6FE23" w14:textId="77777777" w:rsidR="000B0B21" w:rsidRPr="006D42D9" w:rsidRDefault="000B0B21" w:rsidP="006D42D9">
          <w:pPr>
            <w:rPr>
              <w:rFonts w:ascii="Republika" w:hAnsi="Republika"/>
              <w:sz w:val="60"/>
              <w:szCs w:val="60"/>
              <w:lang w:val="sl-SI"/>
            </w:rPr>
          </w:pPr>
        </w:p>
        <w:p w14:paraId="00E04A2D" w14:textId="77777777" w:rsidR="000B0B21" w:rsidRPr="006D42D9" w:rsidRDefault="000B0B21" w:rsidP="006D42D9">
          <w:pPr>
            <w:rPr>
              <w:rFonts w:ascii="Republika" w:hAnsi="Republika"/>
              <w:sz w:val="60"/>
              <w:szCs w:val="60"/>
              <w:lang w:val="sl-SI"/>
            </w:rPr>
          </w:pPr>
        </w:p>
        <w:p w14:paraId="378A626F" w14:textId="77777777" w:rsidR="000B0B21" w:rsidRPr="006D42D9" w:rsidRDefault="000B0B21" w:rsidP="006D42D9">
          <w:pPr>
            <w:rPr>
              <w:rFonts w:ascii="Republika" w:hAnsi="Republika"/>
              <w:sz w:val="60"/>
              <w:szCs w:val="60"/>
              <w:lang w:val="sl-SI"/>
            </w:rPr>
          </w:pPr>
        </w:p>
        <w:p w14:paraId="52EF1E1B" w14:textId="77777777" w:rsidR="000B0B21" w:rsidRPr="006D42D9" w:rsidRDefault="000B0B21" w:rsidP="006D42D9">
          <w:pPr>
            <w:rPr>
              <w:rFonts w:ascii="Republika" w:hAnsi="Republika"/>
              <w:sz w:val="60"/>
              <w:szCs w:val="60"/>
              <w:lang w:val="sl-SI"/>
            </w:rPr>
          </w:pPr>
        </w:p>
        <w:p w14:paraId="3A62D8B0" w14:textId="77777777" w:rsidR="000B0B21" w:rsidRPr="006D42D9" w:rsidRDefault="000B0B21" w:rsidP="006D42D9">
          <w:pPr>
            <w:rPr>
              <w:rFonts w:ascii="Republika" w:hAnsi="Republika"/>
              <w:sz w:val="60"/>
              <w:szCs w:val="60"/>
              <w:lang w:val="sl-SI"/>
            </w:rPr>
          </w:pPr>
        </w:p>
        <w:p w14:paraId="7D1F9A78" w14:textId="77777777" w:rsidR="000B0B21" w:rsidRPr="006D42D9" w:rsidRDefault="000B0B21" w:rsidP="006D42D9">
          <w:pPr>
            <w:rPr>
              <w:rFonts w:ascii="Republika" w:hAnsi="Republika"/>
              <w:sz w:val="60"/>
              <w:szCs w:val="60"/>
              <w:lang w:val="sl-SI"/>
            </w:rPr>
          </w:pPr>
        </w:p>
        <w:p w14:paraId="4075F92F" w14:textId="77777777" w:rsidR="000B0B21" w:rsidRPr="006D42D9" w:rsidRDefault="000B0B21" w:rsidP="006D42D9">
          <w:pPr>
            <w:rPr>
              <w:rFonts w:ascii="Republika" w:hAnsi="Republika"/>
              <w:sz w:val="60"/>
              <w:szCs w:val="60"/>
              <w:lang w:val="sl-SI"/>
            </w:rPr>
          </w:pPr>
        </w:p>
        <w:p w14:paraId="08E56934" w14:textId="77777777" w:rsidR="000B0B21" w:rsidRPr="006D42D9" w:rsidRDefault="000B0B21" w:rsidP="006D42D9">
          <w:pPr>
            <w:rPr>
              <w:rFonts w:ascii="Republika" w:hAnsi="Republika"/>
              <w:sz w:val="60"/>
              <w:szCs w:val="60"/>
              <w:lang w:val="sl-SI"/>
            </w:rPr>
          </w:pPr>
        </w:p>
        <w:p w14:paraId="64019D4C" w14:textId="77777777" w:rsidR="000B0B21" w:rsidRPr="006D42D9" w:rsidRDefault="000B0B21" w:rsidP="006D42D9">
          <w:pPr>
            <w:rPr>
              <w:rFonts w:ascii="Republika" w:hAnsi="Republika"/>
              <w:sz w:val="60"/>
              <w:szCs w:val="60"/>
              <w:lang w:val="sl-SI"/>
            </w:rPr>
          </w:pPr>
        </w:p>
        <w:p w14:paraId="2CFC494C" w14:textId="77777777" w:rsidR="000B0B21" w:rsidRPr="006D42D9" w:rsidRDefault="000B0B21" w:rsidP="006D42D9">
          <w:pPr>
            <w:rPr>
              <w:rFonts w:ascii="Republika" w:hAnsi="Republika"/>
              <w:sz w:val="60"/>
              <w:szCs w:val="60"/>
              <w:lang w:val="sl-SI"/>
            </w:rPr>
          </w:pPr>
        </w:p>
        <w:p w14:paraId="6594B688" w14:textId="77777777" w:rsidR="000B0B21" w:rsidRPr="006D42D9" w:rsidRDefault="000B0B21" w:rsidP="006D42D9">
          <w:pPr>
            <w:rPr>
              <w:rFonts w:ascii="Republika" w:hAnsi="Republika"/>
              <w:sz w:val="60"/>
              <w:szCs w:val="60"/>
              <w:lang w:val="sl-SI"/>
            </w:rPr>
          </w:pPr>
        </w:p>
        <w:p w14:paraId="152B7C04" w14:textId="77777777" w:rsidR="000B0B21" w:rsidRPr="006D42D9" w:rsidRDefault="000B0B21" w:rsidP="006D42D9">
          <w:pPr>
            <w:rPr>
              <w:rFonts w:ascii="Republika" w:hAnsi="Republika"/>
              <w:sz w:val="60"/>
              <w:szCs w:val="60"/>
              <w:lang w:val="sl-SI"/>
            </w:rPr>
          </w:pPr>
        </w:p>
        <w:p w14:paraId="40415B8D" w14:textId="77777777" w:rsidR="000B0B21" w:rsidRPr="006D42D9" w:rsidRDefault="000B0B21" w:rsidP="006D42D9">
          <w:pPr>
            <w:rPr>
              <w:rFonts w:ascii="Republika" w:hAnsi="Republika"/>
              <w:sz w:val="60"/>
              <w:szCs w:val="60"/>
              <w:lang w:val="sl-SI"/>
            </w:rPr>
          </w:pPr>
        </w:p>
      </w:tc>
    </w:tr>
  </w:tbl>
  <w:p w14:paraId="1AFD8FEB"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5BC3C90F" wp14:editId="0105257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0C86DF59" w14:textId="77777777" w:rsidR="000B0B21" w:rsidRPr="00FD746A" w:rsidRDefault="00000000"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2D331CEB"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1CE93712" w14:textId="77777777" w:rsidR="005254D1" w:rsidRPr="00A12D5C" w:rsidRDefault="00000000"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39F25CE5" w14:textId="77777777" w:rsidR="005254D1" w:rsidRPr="008F3500" w:rsidRDefault="00000000"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1E28F3D"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B9DED08"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449B0587"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788042B6">
      <w:start w:val="1"/>
      <w:numFmt w:val="decimal"/>
      <w:lvlText w:val="%1."/>
      <w:lvlJc w:val="left"/>
      <w:pPr>
        <w:tabs>
          <w:tab w:val="num" w:pos="1080"/>
        </w:tabs>
        <w:ind w:left="1080" w:hanging="360"/>
      </w:pPr>
      <w:rPr>
        <w:rFonts w:hint="default"/>
      </w:rPr>
    </w:lvl>
    <w:lvl w:ilvl="1" w:tplc="B6207D2E" w:tentative="1">
      <w:start w:val="1"/>
      <w:numFmt w:val="lowerLetter"/>
      <w:lvlText w:val="%2."/>
      <w:lvlJc w:val="left"/>
      <w:pPr>
        <w:ind w:left="1800" w:hanging="360"/>
      </w:pPr>
    </w:lvl>
    <w:lvl w:ilvl="2" w:tplc="D9A4FAD0" w:tentative="1">
      <w:start w:val="1"/>
      <w:numFmt w:val="lowerRoman"/>
      <w:lvlText w:val="%3."/>
      <w:lvlJc w:val="right"/>
      <w:pPr>
        <w:ind w:left="2520" w:hanging="180"/>
      </w:pPr>
    </w:lvl>
    <w:lvl w:ilvl="3" w:tplc="BA586EAA" w:tentative="1">
      <w:start w:val="1"/>
      <w:numFmt w:val="decimal"/>
      <w:lvlText w:val="%4."/>
      <w:lvlJc w:val="left"/>
      <w:pPr>
        <w:ind w:left="3240" w:hanging="360"/>
      </w:pPr>
    </w:lvl>
    <w:lvl w:ilvl="4" w:tplc="F37EBF58" w:tentative="1">
      <w:start w:val="1"/>
      <w:numFmt w:val="lowerLetter"/>
      <w:lvlText w:val="%5."/>
      <w:lvlJc w:val="left"/>
      <w:pPr>
        <w:ind w:left="3960" w:hanging="360"/>
      </w:pPr>
    </w:lvl>
    <w:lvl w:ilvl="5" w:tplc="0A74516C" w:tentative="1">
      <w:start w:val="1"/>
      <w:numFmt w:val="lowerRoman"/>
      <w:lvlText w:val="%6."/>
      <w:lvlJc w:val="right"/>
      <w:pPr>
        <w:ind w:left="4680" w:hanging="180"/>
      </w:pPr>
    </w:lvl>
    <w:lvl w:ilvl="6" w:tplc="F7A89A6C" w:tentative="1">
      <w:start w:val="1"/>
      <w:numFmt w:val="decimal"/>
      <w:lvlText w:val="%7."/>
      <w:lvlJc w:val="left"/>
      <w:pPr>
        <w:ind w:left="5400" w:hanging="360"/>
      </w:pPr>
    </w:lvl>
    <w:lvl w:ilvl="7" w:tplc="8FE4A8D4" w:tentative="1">
      <w:start w:val="1"/>
      <w:numFmt w:val="lowerLetter"/>
      <w:lvlText w:val="%8."/>
      <w:lvlJc w:val="left"/>
      <w:pPr>
        <w:ind w:left="6120" w:hanging="360"/>
      </w:pPr>
    </w:lvl>
    <w:lvl w:ilvl="8" w:tplc="3A927D7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F2E8671C">
      <w:start w:val="1"/>
      <w:numFmt w:val="decimal"/>
      <w:lvlText w:val="%1."/>
      <w:lvlJc w:val="left"/>
      <w:pPr>
        <w:tabs>
          <w:tab w:val="num" w:pos="360"/>
        </w:tabs>
        <w:ind w:left="360" w:hanging="360"/>
      </w:pPr>
      <w:rPr>
        <w:rFonts w:hint="default"/>
      </w:rPr>
    </w:lvl>
    <w:lvl w:ilvl="1" w:tplc="2D3CAA64" w:tentative="1">
      <w:start w:val="1"/>
      <w:numFmt w:val="lowerLetter"/>
      <w:lvlText w:val="%2."/>
      <w:lvlJc w:val="left"/>
      <w:pPr>
        <w:ind w:left="1080" w:hanging="360"/>
      </w:pPr>
    </w:lvl>
    <w:lvl w:ilvl="2" w:tplc="49D60156" w:tentative="1">
      <w:start w:val="1"/>
      <w:numFmt w:val="lowerRoman"/>
      <w:lvlText w:val="%3."/>
      <w:lvlJc w:val="right"/>
      <w:pPr>
        <w:ind w:left="1800" w:hanging="180"/>
      </w:pPr>
    </w:lvl>
    <w:lvl w:ilvl="3" w:tplc="A476C4C0" w:tentative="1">
      <w:start w:val="1"/>
      <w:numFmt w:val="decimal"/>
      <w:lvlText w:val="%4."/>
      <w:lvlJc w:val="left"/>
      <w:pPr>
        <w:ind w:left="2520" w:hanging="360"/>
      </w:pPr>
    </w:lvl>
    <w:lvl w:ilvl="4" w:tplc="71A67B76" w:tentative="1">
      <w:start w:val="1"/>
      <w:numFmt w:val="lowerLetter"/>
      <w:lvlText w:val="%5."/>
      <w:lvlJc w:val="left"/>
      <w:pPr>
        <w:ind w:left="3240" w:hanging="360"/>
      </w:pPr>
    </w:lvl>
    <w:lvl w:ilvl="5" w:tplc="013E1434" w:tentative="1">
      <w:start w:val="1"/>
      <w:numFmt w:val="lowerRoman"/>
      <w:lvlText w:val="%6."/>
      <w:lvlJc w:val="right"/>
      <w:pPr>
        <w:ind w:left="3960" w:hanging="180"/>
      </w:pPr>
    </w:lvl>
    <w:lvl w:ilvl="6" w:tplc="7F905FDE" w:tentative="1">
      <w:start w:val="1"/>
      <w:numFmt w:val="decimal"/>
      <w:lvlText w:val="%7."/>
      <w:lvlJc w:val="left"/>
      <w:pPr>
        <w:ind w:left="4680" w:hanging="360"/>
      </w:pPr>
    </w:lvl>
    <w:lvl w:ilvl="7" w:tplc="446A2CD8" w:tentative="1">
      <w:start w:val="1"/>
      <w:numFmt w:val="lowerLetter"/>
      <w:lvlText w:val="%8."/>
      <w:lvlJc w:val="left"/>
      <w:pPr>
        <w:ind w:left="5400" w:hanging="360"/>
      </w:pPr>
    </w:lvl>
    <w:lvl w:ilvl="8" w:tplc="C5E80656"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46966C2C">
      <w:start w:val="1"/>
      <w:numFmt w:val="decimal"/>
      <w:lvlText w:val="%1."/>
      <w:lvlJc w:val="left"/>
      <w:pPr>
        <w:tabs>
          <w:tab w:val="num" w:pos="720"/>
        </w:tabs>
        <w:ind w:left="720" w:hanging="360"/>
      </w:pPr>
      <w:rPr>
        <w:rFonts w:hint="default"/>
      </w:rPr>
    </w:lvl>
    <w:lvl w:ilvl="1" w:tplc="2FA2CA3A" w:tentative="1">
      <w:start w:val="1"/>
      <w:numFmt w:val="lowerLetter"/>
      <w:lvlText w:val="%2."/>
      <w:lvlJc w:val="left"/>
      <w:pPr>
        <w:tabs>
          <w:tab w:val="num" w:pos="1440"/>
        </w:tabs>
        <w:ind w:left="1440" w:hanging="360"/>
      </w:pPr>
    </w:lvl>
    <w:lvl w:ilvl="2" w:tplc="B5FCFB28" w:tentative="1">
      <w:start w:val="1"/>
      <w:numFmt w:val="lowerRoman"/>
      <w:lvlText w:val="%3."/>
      <w:lvlJc w:val="right"/>
      <w:pPr>
        <w:tabs>
          <w:tab w:val="num" w:pos="2160"/>
        </w:tabs>
        <w:ind w:left="2160" w:hanging="180"/>
      </w:pPr>
    </w:lvl>
    <w:lvl w:ilvl="3" w:tplc="D69EF67C" w:tentative="1">
      <w:start w:val="1"/>
      <w:numFmt w:val="decimal"/>
      <w:lvlText w:val="%4."/>
      <w:lvlJc w:val="left"/>
      <w:pPr>
        <w:tabs>
          <w:tab w:val="num" w:pos="2880"/>
        </w:tabs>
        <w:ind w:left="2880" w:hanging="360"/>
      </w:pPr>
    </w:lvl>
    <w:lvl w:ilvl="4" w:tplc="8936785E" w:tentative="1">
      <w:start w:val="1"/>
      <w:numFmt w:val="lowerLetter"/>
      <w:lvlText w:val="%5."/>
      <w:lvlJc w:val="left"/>
      <w:pPr>
        <w:tabs>
          <w:tab w:val="num" w:pos="3600"/>
        </w:tabs>
        <w:ind w:left="3600" w:hanging="360"/>
      </w:pPr>
    </w:lvl>
    <w:lvl w:ilvl="5" w:tplc="433A7BA2" w:tentative="1">
      <w:start w:val="1"/>
      <w:numFmt w:val="lowerRoman"/>
      <w:lvlText w:val="%6."/>
      <w:lvlJc w:val="right"/>
      <w:pPr>
        <w:tabs>
          <w:tab w:val="num" w:pos="4320"/>
        </w:tabs>
        <w:ind w:left="4320" w:hanging="180"/>
      </w:pPr>
    </w:lvl>
    <w:lvl w:ilvl="6" w:tplc="867CD2FC" w:tentative="1">
      <w:start w:val="1"/>
      <w:numFmt w:val="decimal"/>
      <w:lvlText w:val="%7."/>
      <w:lvlJc w:val="left"/>
      <w:pPr>
        <w:tabs>
          <w:tab w:val="num" w:pos="5040"/>
        </w:tabs>
        <w:ind w:left="5040" w:hanging="360"/>
      </w:pPr>
    </w:lvl>
    <w:lvl w:ilvl="7" w:tplc="ADC25B8C" w:tentative="1">
      <w:start w:val="1"/>
      <w:numFmt w:val="lowerLetter"/>
      <w:lvlText w:val="%8."/>
      <w:lvlJc w:val="left"/>
      <w:pPr>
        <w:tabs>
          <w:tab w:val="num" w:pos="5760"/>
        </w:tabs>
        <w:ind w:left="5760" w:hanging="360"/>
      </w:pPr>
    </w:lvl>
    <w:lvl w:ilvl="8" w:tplc="9D3213F8"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1B71E5"/>
    <w:multiLevelType w:val="hybridMultilevel"/>
    <w:tmpl w:val="5D40B950"/>
    <w:lvl w:ilvl="0" w:tplc="B94C1F64">
      <w:numFmt w:val="bullet"/>
      <w:lvlText w:val="-"/>
      <w:lvlJc w:val="left"/>
      <w:pPr>
        <w:ind w:left="720" w:hanging="360"/>
      </w:pPr>
      <w:rPr>
        <w:rFonts w:ascii="Arial" w:eastAsia="Times New Roman" w:hAnsi="Arial" w:cs="Arial" w:hint="default"/>
      </w:rPr>
    </w:lvl>
    <w:lvl w:ilvl="1" w:tplc="CB2E3FDC" w:tentative="1">
      <w:start w:val="1"/>
      <w:numFmt w:val="bullet"/>
      <w:lvlText w:val="o"/>
      <w:lvlJc w:val="left"/>
      <w:pPr>
        <w:ind w:left="1440" w:hanging="360"/>
      </w:pPr>
      <w:rPr>
        <w:rFonts w:ascii="Courier New" w:hAnsi="Courier New" w:cs="Courier New" w:hint="default"/>
      </w:rPr>
    </w:lvl>
    <w:lvl w:ilvl="2" w:tplc="31109DF0" w:tentative="1">
      <w:start w:val="1"/>
      <w:numFmt w:val="bullet"/>
      <w:lvlText w:val=""/>
      <w:lvlJc w:val="left"/>
      <w:pPr>
        <w:ind w:left="2160" w:hanging="360"/>
      </w:pPr>
      <w:rPr>
        <w:rFonts w:ascii="Wingdings" w:hAnsi="Wingdings" w:hint="default"/>
      </w:rPr>
    </w:lvl>
    <w:lvl w:ilvl="3" w:tplc="A874FD66" w:tentative="1">
      <w:start w:val="1"/>
      <w:numFmt w:val="bullet"/>
      <w:lvlText w:val=""/>
      <w:lvlJc w:val="left"/>
      <w:pPr>
        <w:ind w:left="2880" w:hanging="360"/>
      </w:pPr>
      <w:rPr>
        <w:rFonts w:ascii="Symbol" w:hAnsi="Symbol" w:hint="default"/>
      </w:rPr>
    </w:lvl>
    <w:lvl w:ilvl="4" w:tplc="E878D660" w:tentative="1">
      <w:start w:val="1"/>
      <w:numFmt w:val="bullet"/>
      <w:lvlText w:val="o"/>
      <w:lvlJc w:val="left"/>
      <w:pPr>
        <w:ind w:left="3600" w:hanging="360"/>
      </w:pPr>
      <w:rPr>
        <w:rFonts w:ascii="Courier New" w:hAnsi="Courier New" w:cs="Courier New" w:hint="default"/>
      </w:rPr>
    </w:lvl>
    <w:lvl w:ilvl="5" w:tplc="D60055C6" w:tentative="1">
      <w:start w:val="1"/>
      <w:numFmt w:val="bullet"/>
      <w:lvlText w:val=""/>
      <w:lvlJc w:val="left"/>
      <w:pPr>
        <w:ind w:left="4320" w:hanging="360"/>
      </w:pPr>
      <w:rPr>
        <w:rFonts w:ascii="Wingdings" w:hAnsi="Wingdings" w:hint="default"/>
      </w:rPr>
    </w:lvl>
    <w:lvl w:ilvl="6" w:tplc="0C881EF2" w:tentative="1">
      <w:start w:val="1"/>
      <w:numFmt w:val="bullet"/>
      <w:lvlText w:val=""/>
      <w:lvlJc w:val="left"/>
      <w:pPr>
        <w:ind w:left="5040" w:hanging="360"/>
      </w:pPr>
      <w:rPr>
        <w:rFonts w:ascii="Symbol" w:hAnsi="Symbol" w:hint="default"/>
      </w:rPr>
    </w:lvl>
    <w:lvl w:ilvl="7" w:tplc="AA8EB4D4" w:tentative="1">
      <w:start w:val="1"/>
      <w:numFmt w:val="bullet"/>
      <w:lvlText w:val="o"/>
      <w:lvlJc w:val="left"/>
      <w:pPr>
        <w:ind w:left="5760" w:hanging="360"/>
      </w:pPr>
      <w:rPr>
        <w:rFonts w:ascii="Courier New" w:hAnsi="Courier New" w:cs="Courier New" w:hint="default"/>
      </w:rPr>
    </w:lvl>
    <w:lvl w:ilvl="8" w:tplc="D2ACAB6E"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58984E92">
      <w:start w:val="1"/>
      <w:numFmt w:val="decimal"/>
      <w:lvlText w:val="%1."/>
      <w:lvlJc w:val="left"/>
      <w:pPr>
        <w:tabs>
          <w:tab w:val="num" w:pos="720"/>
        </w:tabs>
        <w:ind w:left="720" w:hanging="360"/>
      </w:pPr>
    </w:lvl>
    <w:lvl w:ilvl="1" w:tplc="9004671C" w:tentative="1">
      <w:start w:val="1"/>
      <w:numFmt w:val="lowerLetter"/>
      <w:lvlText w:val="%2."/>
      <w:lvlJc w:val="left"/>
      <w:pPr>
        <w:tabs>
          <w:tab w:val="num" w:pos="1440"/>
        </w:tabs>
        <w:ind w:left="1440" w:hanging="360"/>
      </w:pPr>
    </w:lvl>
    <w:lvl w:ilvl="2" w:tplc="2C44A39C" w:tentative="1">
      <w:start w:val="1"/>
      <w:numFmt w:val="lowerRoman"/>
      <w:lvlText w:val="%3."/>
      <w:lvlJc w:val="right"/>
      <w:pPr>
        <w:tabs>
          <w:tab w:val="num" w:pos="2160"/>
        </w:tabs>
        <w:ind w:left="2160" w:hanging="180"/>
      </w:pPr>
    </w:lvl>
    <w:lvl w:ilvl="3" w:tplc="21925EAE" w:tentative="1">
      <w:start w:val="1"/>
      <w:numFmt w:val="decimal"/>
      <w:lvlText w:val="%4."/>
      <w:lvlJc w:val="left"/>
      <w:pPr>
        <w:tabs>
          <w:tab w:val="num" w:pos="2880"/>
        </w:tabs>
        <w:ind w:left="2880" w:hanging="360"/>
      </w:pPr>
    </w:lvl>
    <w:lvl w:ilvl="4" w:tplc="8EC82926" w:tentative="1">
      <w:start w:val="1"/>
      <w:numFmt w:val="lowerLetter"/>
      <w:lvlText w:val="%5."/>
      <w:lvlJc w:val="left"/>
      <w:pPr>
        <w:tabs>
          <w:tab w:val="num" w:pos="3600"/>
        </w:tabs>
        <w:ind w:left="3600" w:hanging="360"/>
      </w:pPr>
    </w:lvl>
    <w:lvl w:ilvl="5" w:tplc="E3908966" w:tentative="1">
      <w:start w:val="1"/>
      <w:numFmt w:val="lowerRoman"/>
      <w:lvlText w:val="%6."/>
      <w:lvlJc w:val="right"/>
      <w:pPr>
        <w:tabs>
          <w:tab w:val="num" w:pos="4320"/>
        </w:tabs>
        <w:ind w:left="4320" w:hanging="180"/>
      </w:pPr>
    </w:lvl>
    <w:lvl w:ilvl="6" w:tplc="72BAC268" w:tentative="1">
      <w:start w:val="1"/>
      <w:numFmt w:val="decimal"/>
      <w:lvlText w:val="%7."/>
      <w:lvlJc w:val="left"/>
      <w:pPr>
        <w:tabs>
          <w:tab w:val="num" w:pos="5040"/>
        </w:tabs>
        <w:ind w:left="5040" w:hanging="360"/>
      </w:pPr>
    </w:lvl>
    <w:lvl w:ilvl="7" w:tplc="8F088D20" w:tentative="1">
      <w:start w:val="1"/>
      <w:numFmt w:val="lowerLetter"/>
      <w:lvlText w:val="%8."/>
      <w:lvlJc w:val="left"/>
      <w:pPr>
        <w:tabs>
          <w:tab w:val="num" w:pos="5760"/>
        </w:tabs>
        <w:ind w:left="5760" w:hanging="360"/>
      </w:pPr>
    </w:lvl>
    <w:lvl w:ilvl="8" w:tplc="9BAC9656" w:tentative="1">
      <w:start w:val="1"/>
      <w:numFmt w:val="lowerRoman"/>
      <w:lvlText w:val="%9."/>
      <w:lvlJc w:val="right"/>
      <w:pPr>
        <w:tabs>
          <w:tab w:val="num" w:pos="6480"/>
        </w:tabs>
        <w:ind w:left="6480" w:hanging="180"/>
      </w:pPr>
    </w:lvl>
  </w:abstractNum>
  <w:num w:numId="1" w16cid:durableId="1432386971">
    <w:abstractNumId w:val="5"/>
  </w:num>
  <w:num w:numId="2" w16cid:durableId="2011831032">
    <w:abstractNumId w:val="2"/>
  </w:num>
  <w:num w:numId="3" w16cid:durableId="1241215334">
    <w:abstractNumId w:val="3"/>
  </w:num>
  <w:num w:numId="4" w16cid:durableId="728697694">
    <w:abstractNumId w:val="0"/>
  </w:num>
  <w:num w:numId="5" w16cid:durableId="1900821125">
    <w:abstractNumId w:val="1"/>
  </w:num>
  <w:num w:numId="6" w16cid:durableId="1332610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513F8"/>
    <w:rsid w:val="000636E1"/>
    <w:rsid w:val="0008352D"/>
    <w:rsid w:val="000A07CE"/>
    <w:rsid w:val="000A2C92"/>
    <w:rsid w:val="000A7238"/>
    <w:rsid w:val="000B0B21"/>
    <w:rsid w:val="000C7BD8"/>
    <w:rsid w:val="000D08A9"/>
    <w:rsid w:val="000F3D38"/>
    <w:rsid w:val="00110CBD"/>
    <w:rsid w:val="001357B2"/>
    <w:rsid w:val="00151388"/>
    <w:rsid w:val="00151872"/>
    <w:rsid w:val="00154915"/>
    <w:rsid w:val="00160E5F"/>
    <w:rsid w:val="001A3BA5"/>
    <w:rsid w:val="001F3B21"/>
    <w:rsid w:val="001F7BC0"/>
    <w:rsid w:val="00202A77"/>
    <w:rsid w:val="00232A88"/>
    <w:rsid w:val="00232E47"/>
    <w:rsid w:val="00261D99"/>
    <w:rsid w:val="00262960"/>
    <w:rsid w:val="00271CE5"/>
    <w:rsid w:val="00282020"/>
    <w:rsid w:val="00282A2F"/>
    <w:rsid w:val="00285890"/>
    <w:rsid w:val="002934F1"/>
    <w:rsid w:val="00296D93"/>
    <w:rsid w:val="00297F27"/>
    <w:rsid w:val="002A4B44"/>
    <w:rsid w:val="002C7EEB"/>
    <w:rsid w:val="002D014A"/>
    <w:rsid w:val="00304726"/>
    <w:rsid w:val="00315D82"/>
    <w:rsid w:val="00352109"/>
    <w:rsid w:val="00357FF9"/>
    <w:rsid w:val="003636BF"/>
    <w:rsid w:val="00370AA7"/>
    <w:rsid w:val="00371034"/>
    <w:rsid w:val="0037479F"/>
    <w:rsid w:val="00377950"/>
    <w:rsid w:val="003828AD"/>
    <w:rsid w:val="003845B4"/>
    <w:rsid w:val="003850BC"/>
    <w:rsid w:val="00387B1A"/>
    <w:rsid w:val="003B5CF4"/>
    <w:rsid w:val="003C3B1D"/>
    <w:rsid w:val="003D0306"/>
    <w:rsid w:val="003E1C74"/>
    <w:rsid w:val="003E7E9E"/>
    <w:rsid w:val="003F4966"/>
    <w:rsid w:val="003F79E5"/>
    <w:rsid w:val="004047FF"/>
    <w:rsid w:val="00484A06"/>
    <w:rsid w:val="004A2490"/>
    <w:rsid w:val="004A4233"/>
    <w:rsid w:val="004A6A59"/>
    <w:rsid w:val="004B160E"/>
    <w:rsid w:val="004C69F3"/>
    <w:rsid w:val="005149DF"/>
    <w:rsid w:val="005254D1"/>
    <w:rsid w:val="00525C18"/>
    <w:rsid w:val="00526246"/>
    <w:rsid w:val="0055206D"/>
    <w:rsid w:val="00567106"/>
    <w:rsid w:val="005709F2"/>
    <w:rsid w:val="005916E5"/>
    <w:rsid w:val="005A32B4"/>
    <w:rsid w:val="005B0438"/>
    <w:rsid w:val="005E1D3C"/>
    <w:rsid w:val="005E5EF1"/>
    <w:rsid w:val="006268BE"/>
    <w:rsid w:val="00632253"/>
    <w:rsid w:val="00642714"/>
    <w:rsid w:val="00643C4E"/>
    <w:rsid w:val="006455CE"/>
    <w:rsid w:val="006D42D9"/>
    <w:rsid w:val="006E26F1"/>
    <w:rsid w:val="006F142E"/>
    <w:rsid w:val="00726463"/>
    <w:rsid w:val="00733017"/>
    <w:rsid w:val="00751D38"/>
    <w:rsid w:val="00775FED"/>
    <w:rsid w:val="00783310"/>
    <w:rsid w:val="00786C40"/>
    <w:rsid w:val="00794B95"/>
    <w:rsid w:val="00794E63"/>
    <w:rsid w:val="007A4A6D"/>
    <w:rsid w:val="007D1BCF"/>
    <w:rsid w:val="007D75CF"/>
    <w:rsid w:val="007E6DC5"/>
    <w:rsid w:val="0088043C"/>
    <w:rsid w:val="008906C9"/>
    <w:rsid w:val="008954EA"/>
    <w:rsid w:val="008A5918"/>
    <w:rsid w:val="008B2E72"/>
    <w:rsid w:val="008C00F2"/>
    <w:rsid w:val="008C5738"/>
    <w:rsid w:val="008D04F0"/>
    <w:rsid w:val="008E2D84"/>
    <w:rsid w:val="008F3500"/>
    <w:rsid w:val="008F5D8C"/>
    <w:rsid w:val="009022B3"/>
    <w:rsid w:val="00924E3C"/>
    <w:rsid w:val="00925A8B"/>
    <w:rsid w:val="009612BB"/>
    <w:rsid w:val="00971C89"/>
    <w:rsid w:val="009765A1"/>
    <w:rsid w:val="009B0295"/>
    <w:rsid w:val="009C5340"/>
    <w:rsid w:val="009E42F2"/>
    <w:rsid w:val="009E5EA9"/>
    <w:rsid w:val="00A05DC7"/>
    <w:rsid w:val="00A125C5"/>
    <w:rsid w:val="00A12D5C"/>
    <w:rsid w:val="00A216AF"/>
    <w:rsid w:val="00A3267F"/>
    <w:rsid w:val="00A36906"/>
    <w:rsid w:val="00A45EAF"/>
    <w:rsid w:val="00A5039D"/>
    <w:rsid w:val="00A65EE7"/>
    <w:rsid w:val="00A70133"/>
    <w:rsid w:val="00A72510"/>
    <w:rsid w:val="00AA15BB"/>
    <w:rsid w:val="00AA47FE"/>
    <w:rsid w:val="00AC05DE"/>
    <w:rsid w:val="00AC5C16"/>
    <w:rsid w:val="00AD5A5B"/>
    <w:rsid w:val="00AE1792"/>
    <w:rsid w:val="00AF564D"/>
    <w:rsid w:val="00B011EA"/>
    <w:rsid w:val="00B17141"/>
    <w:rsid w:val="00B31575"/>
    <w:rsid w:val="00B63BD4"/>
    <w:rsid w:val="00B653A6"/>
    <w:rsid w:val="00B677B6"/>
    <w:rsid w:val="00B8547D"/>
    <w:rsid w:val="00BC2517"/>
    <w:rsid w:val="00BC61EF"/>
    <w:rsid w:val="00BD5E4E"/>
    <w:rsid w:val="00BE423F"/>
    <w:rsid w:val="00C07700"/>
    <w:rsid w:val="00C250D5"/>
    <w:rsid w:val="00C47F8D"/>
    <w:rsid w:val="00C52DAE"/>
    <w:rsid w:val="00C57EED"/>
    <w:rsid w:val="00C81391"/>
    <w:rsid w:val="00C92898"/>
    <w:rsid w:val="00C97222"/>
    <w:rsid w:val="00CA28CB"/>
    <w:rsid w:val="00CE57CA"/>
    <w:rsid w:val="00CE7514"/>
    <w:rsid w:val="00D248DE"/>
    <w:rsid w:val="00D25427"/>
    <w:rsid w:val="00D31B74"/>
    <w:rsid w:val="00D3564D"/>
    <w:rsid w:val="00D8542D"/>
    <w:rsid w:val="00D855C3"/>
    <w:rsid w:val="00DA6A61"/>
    <w:rsid w:val="00DB11E1"/>
    <w:rsid w:val="00DB4E6F"/>
    <w:rsid w:val="00DC62F6"/>
    <w:rsid w:val="00DC6A71"/>
    <w:rsid w:val="00DD6CC3"/>
    <w:rsid w:val="00DE5B46"/>
    <w:rsid w:val="00E0357D"/>
    <w:rsid w:val="00E1413D"/>
    <w:rsid w:val="00E24EC2"/>
    <w:rsid w:val="00E51C0F"/>
    <w:rsid w:val="00E64749"/>
    <w:rsid w:val="00E8201C"/>
    <w:rsid w:val="00E94ECF"/>
    <w:rsid w:val="00EA3F26"/>
    <w:rsid w:val="00ED00D1"/>
    <w:rsid w:val="00ED7E82"/>
    <w:rsid w:val="00EF3280"/>
    <w:rsid w:val="00F0025B"/>
    <w:rsid w:val="00F02E53"/>
    <w:rsid w:val="00F12F7D"/>
    <w:rsid w:val="00F240BB"/>
    <w:rsid w:val="00F42CE8"/>
    <w:rsid w:val="00F46724"/>
    <w:rsid w:val="00F47F58"/>
    <w:rsid w:val="00F57FED"/>
    <w:rsid w:val="00F63B13"/>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D3AC7B"/>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uriserv:OJ.L_.2016.287.01.0003.01.SLV&amp;toc=OJ:L:2016:287:T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ur-lex.europa.eu/legal-content/SL/TXT/?uri=uriserv%3AOJ.C_.2023.245.01.0006.01.SLV&amp;toc=OJ%3AC%3A2023%3A245%3ATOC" TargetMode="External"/><Relationship Id="rId4" Type="http://schemas.openxmlformats.org/officeDocument/2006/relationships/settings" Target="settings.xml"/><Relationship Id="rId9" Type="http://schemas.openxmlformats.org/officeDocument/2006/relationships/hyperlink" Target="https://eur-lex.europa.eu/legal-content/SL/TXT/?uri=uriserv%3AOJ.L_.2020.350.01.0001.01.SLV&amp;toc=OJ%3AL%3A2020%3A350%3ATOC"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2</Pages>
  <Words>689</Words>
  <Characters>3929</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Ana Maček</cp:lastModifiedBy>
  <cp:revision>2</cp:revision>
  <cp:lastPrinted>2010-07-05T10:38:00Z</cp:lastPrinted>
  <dcterms:created xsi:type="dcterms:W3CDTF">2023-08-28T08:46:00Z</dcterms:created>
  <dcterms:modified xsi:type="dcterms:W3CDTF">2023-08-28T08:46:00Z</dcterms:modified>
</cp:coreProperties>
</file>