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A50D" w14:textId="77777777" w:rsidR="00F4630B" w:rsidRDefault="00F4630B" w:rsidP="00F4630B">
      <w:pPr>
        <w:pStyle w:val="datumtevilka"/>
        <w:jc w:val="both"/>
      </w:pPr>
      <w:bookmarkStart w:id="0" w:name="NaslovSubjekta"/>
    </w:p>
    <w:p w14:paraId="5D73EA84" w14:textId="77777777" w:rsidR="00F4630B" w:rsidRDefault="00F4630B" w:rsidP="00F4630B">
      <w:pPr>
        <w:pStyle w:val="datumtevilka"/>
        <w:jc w:val="both"/>
      </w:pPr>
    </w:p>
    <w:bookmarkEnd w:id="0"/>
    <w:p w14:paraId="17A67F5A" w14:textId="77777777" w:rsidR="007D75CF" w:rsidRPr="00BC2517" w:rsidRDefault="007D75CF" w:rsidP="007D75CF">
      <w:pPr>
        <w:rPr>
          <w:lang w:val="sl-SI"/>
        </w:rPr>
      </w:pPr>
    </w:p>
    <w:p w14:paraId="69705AF6" w14:textId="77777777" w:rsidR="00F4630B" w:rsidRDefault="00F4630B" w:rsidP="00DC6A71">
      <w:pPr>
        <w:pStyle w:val="ZADEVA"/>
        <w:rPr>
          <w:lang w:val="sl-SI"/>
        </w:rPr>
      </w:pPr>
    </w:p>
    <w:p w14:paraId="633BFBB2" w14:textId="77777777" w:rsidR="000C4548" w:rsidRDefault="000C4548" w:rsidP="00DC6A71">
      <w:pPr>
        <w:pStyle w:val="ZADEVA"/>
        <w:rPr>
          <w:lang w:val="sl-SI"/>
        </w:rPr>
      </w:pPr>
      <w:bookmarkStart w:id="1" w:name="NaslovZadeve"/>
    </w:p>
    <w:p w14:paraId="4FE34F39" w14:textId="77777777" w:rsidR="000C4548" w:rsidRDefault="000C4548" w:rsidP="00DC6A71">
      <w:pPr>
        <w:pStyle w:val="ZADEVA"/>
        <w:rPr>
          <w:lang w:val="sl-SI"/>
        </w:rPr>
      </w:pPr>
    </w:p>
    <w:p w14:paraId="165E8336" w14:textId="0F33C398" w:rsidR="007D75CF" w:rsidRPr="00BC2517" w:rsidRDefault="00000000" w:rsidP="00DC6A71">
      <w:pPr>
        <w:pStyle w:val="ZADEVA"/>
        <w:rPr>
          <w:lang w:val="sl-SI"/>
        </w:rPr>
      </w:pPr>
      <w:r w:rsidRPr="00F4630B">
        <w:rPr>
          <w:lang w:val="sl-SI"/>
        </w:rPr>
        <w:t>Uporaba sheme splošnih tarifnih preferencialov v letu 2024</w:t>
      </w:r>
      <w:bookmarkEnd w:id="1"/>
    </w:p>
    <w:p w14:paraId="42DC5B0D" w14:textId="77777777" w:rsidR="007D75CF" w:rsidRPr="00BC2517" w:rsidRDefault="007D75CF" w:rsidP="007D75CF">
      <w:pPr>
        <w:rPr>
          <w:lang w:val="sl-SI"/>
        </w:rPr>
      </w:pPr>
    </w:p>
    <w:p w14:paraId="1A9DD08D" w14:textId="77777777" w:rsidR="007D75CF" w:rsidRPr="00BC2517" w:rsidRDefault="007D75CF" w:rsidP="007D75CF">
      <w:pPr>
        <w:rPr>
          <w:lang w:val="sl-SI"/>
        </w:rPr>
      </w:pPr>
    </w:p>
    <w:p w14:paraId="335667FF" w14:textId="77777777" w:rsidR="00F4630B" w:rsidRDefault="00000000" w:rsidP="00F4630B">
      <w:pPr>
        <w:jc w:val="both"/>
        <w:rPr>
          <w:lang w:val="sl-SI"/>
        </w:rPr>
      </w:pPr>
      <w:r>
        <w:rPr>
          <w:lang w:val="sl-SI"/>
        </w:rPr>
        <w:t>Shema splošnih tarifnih preferencialov se uporablja v skladu z Uredbo (EU) 978/2012 Evropskega parlamenta in Sveta, z dne 25. oktobra 2012, o uporabi sheme splošnih tarifnih preferencialov in razveljavitvi Uredbe Sveta (ES) št. 732/2008 (</w:t>
      </w:r>
      <w:hyperlink r:id="rId8" w:history="1">
        <w:r w:rsidRPr="000F7947">
          <w:rPr>
            <w:rStyle w:val="Hiperpovezava"/>
            <w:lang w:val="sl-SI"/>
          </w:rPr>
          <w:t>Uradni list EU L 303</w:t>
        </w:r>
      </w:hyperlink>
      <w:r>
        <w:rPr>
          <w:lang w:val="sl-SI"/>
        </w:rPr>
        <w:t xml:space="preserve">, z dne 31. 10. 2012; z vsemi spremembami in popravkom; v nadaljnjem besedilu: Uredba (EU) št. 978/2012). V členu 43(3) Uredbe (EU) št. 978/2012 je določen datum, do katerega se ta shema uporablja, in sicer do 31. decembra 2023. </w:t>
      </w:r>
      <w:r w:rsidRPr="00D43EAA">
        <w:rPr>
          <w:lang w:val="sl-SI"/>
        </w:rPr>
        <w:t xml:space="preserve">V Uradnem listu EU </w:t>
      </w:r>
      <w:r>
        <w:rPr>
          <w:lang w:val="sl-SI"/>
        </w:rPr>
        <w:t>L</w:t>
      </w:r>
      <w:r w:rsidRPr="00D43EAA">
        <w:rPr>
          <w:lang w:val="sl-SI"/>
        </w:rPr>
        <w:t>,</w:t>
      </w:r>
      <w:r>
        <w:rPr>
          <w:lang w:val="sl-SI"/>
        </w:rPr>
        <w:t xml:space="preserve"> </w:t>
      </w:r>
      <w:hyperlink r:id="rId9" w:history="1">
        <w:r w:rsidRPr="00606685">
          <w:rPr>
            <w:rStyle w:val="Hiperpovezava"/>
            <w:lang w:val="sl-SI"/>
          </w:rPr>
          <w:t>2023/2663</w:t>
        </w:r>
      </w:hyperlink>
      <w:r w:rsidRPr="00D43EAA">
        <w:rPr>
          <w:lang w:val="sl-SI"/>
        </w:rPr>
        <w:t>, je bil</w:t>
      </w:r>
      <w:r>
        <w:rPr>
          <w:lang w:val="sl-SI"/>
        </w:rPr>
        <w:t>a</w:t>
      </w:r>
      <w:r w:rsidRPr="00D43EAA">
        <w:rPr>
          <w:lang w:val="sl-SI"/>
        </w:rPr>
        <w:t xml:space="preserve"> dne </w:t>
      </w:r>
      <w:r>
        <w:rPr>
          <w:lang w:val="sl-SI"/>
        </w:rPr>
        <w:t>27</w:t>
      </w:r>
      <w:r w:rsidRPr="00D43EAA">
        <w:rPr>
          <w:lang w:val="sl-SI"/>
        </w:rPr>
        <w:t>. 1</w:t>
      </w:r>
      <w:r>
        <w:rPr>
          <w:lang w:val="sl-SI"/>
        </w:rPr>
        <w:t>1</w:t>
      </w:r>
      <w:r w:rsidRPr="00D43EAA">
        <w:rPr>
          <w:lang w:val="sl-SI"/>
        </w:rPr>
        <w:t>. 2023 objavljen</w:t>
      </w:r>
      <w:r>
        <w:rPr>
          <w:lang w:val="sl-SI"/>
        </w:rPr>
        <w:t>a Uredba (EU) 2023/2663 Evropskega parlamenta in Sveta, z dne 22. novembra 2023, o spremembi Uredbe (EU) št. 978/2012 o uporabi sheme splošnih tarifnih preferencialov, s katero se podaljšuje uporaba sheme splošnih tarifnih preferencialov iz Uredbe (EU) št. 978/2012 do 31. decembra 2027.</w:t>
      </w:r>
    </w:p>
    <w:p w14:paraId="14E07303" w14:textId="77777777" w:rsidR="00F4630B" w:rsidRDefault="00F4630B" w:rsidP="00F4630B">
      <w:pPr>
        <w:jc w:val="both"/>
        <w:rPr>
          <w:lang w:val="sl-SI"/>
        </w:rPr>
      </w:pPr>
    </w:p>
    <w:p w14:paraId="01A8F79C" w14:textId="77777777" w:rsidR="00F4630B" w:rsidRPr="006D573B" w:rsidRDefault="00000000" w:rsidP="00F4630B">
      <w:pPr>
        <w:jc w:val="both"/>
        <w:rPr>
          <w:lang w:val="sl-SI"/>
        </w:rPr>
      </w:pPr>
      <w:r>
        <w:rPr>
          <w:lang w:val="sl-SI"/>
        </w:rPr>
        <w:t>V letu 2024 ostajajo države in število držav upravičenk do sheme splošnih tarifnih preferencialov nespremenjeni (65 držav), in sicer 10 držav upravičenk do splošnega režima (države upravičenke do GSP), 8 držav upravičenk do posebnega spodbujevalnega režima za trajnostni razvoj in dobro upravljanje (države upravičenke do GSP+) ter 47 držav upravičenk do posebnega spodbujevalnega režima za najmanj razvite države (države upravičenke do EBA</w:t>
      </w:r>
      <w:r w:rsidRPr="006D573B">
        <w:rPr>
          <w:lang w:val="sl-SI"/>
        </w:rPr>
        <w:t xml:space="preserve">). Ne glede na navedeno pa opozarjamo, da se pri  uvozu v  EU iz vseh držav upravičenk do sheme splošnih tarifnih preferencialov ne more koristiti ugodnosti tarifnih preferencialov. Tarifni preferenciali se pri uvozu v EU namreč ne morejo odobriti, če je bilo blago izvoženo iz držav upravičenk do sheme splošnih tarifnih preferencialov, ki še niso začele uporabljati sistema REX. Države, ki ne uporabljajo </w:t>
      </w:r>
      <w:r>
        <w:rPr>
          <w:lang w:val="sl-SI"/>
        </w:rPr>
        <w:t xml:space="preserve">sistema </w:t>
      </w:r>
      <w:r w:rsidRPr="006D573B">
        <w:rPr>
          <w:lang w:val="sl-SI"/>
        </w:rPr>
        <w:t xml:space="preserve">REX, so navedene v razpredelnici, ki je objavljena na </w:t>
      </w:r>
      <w:hyperlink r:id="rId10" w:history="1">
        <w:r w:rsidRPr="006D573B">
          <w:rPr>
            <w:rStyle w:val="Hiperpovezava"/>
            <w:lang w:val="sl-SI"/>
          </w:rPr>
          <w:t>spletni strani Evropske komisije</w:t>
        </w:r>
      </w:hyperlink>
      <w:r w:rsidRPr="006D573B">
        <w:rPr>
          <w:lang w:val="sl-SI"/>
        </w:rPr>
        <w:t>.</w:t>
      </w:r>
    </w:p>
    <w:p w14:paraId="4A2FD405" w14:textId="77777777" w:rsidR="00F4630B" w:rsidRDefault="00F4630B" w:rsidP="00F4630B">
      <w:pPr>
        <w:jc w:val="both"/>
        <w:rPr>
          <w:lang w:val="sl-SI"/>
        </w:rPr>
      </w:pPr>
    </w:p>
    <w:p w14:paraId="27E58E13" w14:textId="77777777" w:rsidR="00F4630B" w:rsidRDefault="00000000" w:rsidP="00F4630B">
      <w:pPr>
        <w:jc w:val="both"/>
        <w:rPr>
          <w:lang w:val="sl-SI"/>
        </w:rPr>
      </w:pPr>
      <w:r>
        <w:rPr>
          <w:lang w:val="sl-SI"/>
        </w:rPr>
        <w:t xml:space="preserve">V </w:t>
      </w:r>
      <w:hyperlink r:id="rId11" w:history="1">
        <w:r w:rsidRPr="006900BC">
          <w:rPr>
            <w:rStyle w:val="Hiperpovezava"/>
            <w:lang w:val="sl-SI"/>
          </w:rPr>
          <w:t>Uradnem listu EU L 173</w:t>
        </w:r>
      </w:hyperlink>
      <w:r w:rsidRPr="006900BC">
        <w:rPr>
          <w:lang w:val="sl-SI"/>
        </w:rPr>
        <w:t>, z dne 30. 6. 2022</w:t>
      </w:r>
      <w:r>
        <w:rPr>
          <w:lang w:val="sl-SI"/>
        </w:rPr>
        <w:t xml:space="preserve">, je bila objavljena </w:t>
      </w:r>
      <w:bookmarkStart w:id="2" w:name="_Hlk153885259"/>
      <w:r w:rsidRPr="006900BC">
        <w:rPr>
          <w:lang w:val="sl-SI"/>
        </w:rPr>
        <w:t>Izvedbena uredba Komisije (EU) 2022/1039</w:t>
      </w:r>
      <w:bookmarkEnd w:id="2"/>
      <w:r>
        <w:rPr>
          <w:lang w:val="sl-SI"/>
        </w:rPr>
        <w:t>,</w:t>
      </w:r>
      <w:r w:rsidRPr="006900BC">
        <w:rPr>
          <w:lang w:val="sl-SI"/>
        </w:rPr>
        <w:t xml:space="preserve"> z dne 29. junija 2022</w:t>
      </w:r>
      <w:r>
        <w:rPr>
          <w:lang w:val="sl-SI"/>
        </w:rPr>
        <w:t>,</w:t>
      </w:r>
      <w:r w:rsidRPr="006900BC">
        <w:rPr>
          <w:lang w:val="sl-SI"/>
        </w:rPr>
        <w:t xml:space="preserve"> o določitvi pravil za uporabo Uredbe (EU) št. 978/2012 Evropskega parlamenta in Sveta v zvezi z opustitvijo nekaterih tarifnih preferencialov za nekatere države upravičenke do GSP za leto 2023</w:t>
      </w:r>
      <w:r>
        <w:rPr>
          <w:lang w:val="sl-SI"/>
        </w:rPr>
        <w:t xml:space="preserve"> (v nadaljnjem besedilu: </w:t>
      </w:r>
      <w:r w:rsidRPr="006900BC">
        <w:rPr>
          <w:lang w:val="sl-SI"/>
        </w:rPr>
        <w:t>Izvedbena uredba Komisije (EU) 2022/1039</w:t>
      </w:r>
      <w:r>
        <w:rPr>
          <w:lang w:val="sl-SI"/>
        </w:rPr>
        <w:t>). V Prilogi zadevne uredbe so navedene tri države upravičenke do GSP (Indija, Indonezija, Kenija) ter oddelki GSP in njihovo poimenovanje, za katere se opustijo tarifni preferenciali v zvezi s temi tremi državami upravičenkami do GSP. Navedeno pomeni,</w:t>
      </w:r>
      <w:r w:rsidRPr="0076054E">
        <w:rPr>
          <w:lang w:val="sl-SI"/>
        </w:rPr>
        <w:t xml:space="preserve"> </w:t>
      </w:r>
      <w:r>
        <w:rPr>
          <w:lang w:val="sl-SI"/>
        </w:rPr>
        <w:t>da so določene</w:t>
      </w:r>
      <w:r w:rsidRPr="0076054E">
        <w:rPr>
          <w:lang w:val="sl-SI"/>
        </w:rPr>
        <w:t xml:space="preserve"> skupin</w:t>
      </w:r>
      <w:r>
        <w:rPr>
          <w:lang w:val="sl-SI"/>
        </w:rPr>
        <w:t>e</w:t>
      </w:r>
      <w:r w:rsidRPr="0076054E">
        <w:rPr>
          <w:lang w:val="sl-SI"/>
        </w:rPr>
        <w:t xml:space="preserve"> izdelkov</w:t>
      </w:r>
      <w:r>
        <w:rPr>
          <w:lang w:val="sl-SI"/>
        </w:rPr>
        <w:t xml:space="preserve">, navedene v Prilogi </w:t>
      </w:r>
      <w:bookmarkStart w:id="3" w:name="_Hlk153885607"/>
      <w:r w:rsidRPr="006900BC">
        <w:rPr>
          <w:lang w:val="sl-SI"/>
        </w:rPr>
        <w:t>Izvedben</w:t>
      </w:r>
      <w:r>
        <w:rPr>
          <w:lang w:val="sl-SI"/>
        </w:rPr>
        <w:t>e</w:t>
      </w:r>
      <w:r w:rsidRPr="006900BC">
        <w:rPr>
          <w:lang w:val="sl-SI"/>
        </w:rPr>
        <w:t xml:space="preserve"> uredb</w:t>
      </w:r>
      <w:r>
        <w:rPr>
          <w:lang w:val="sl-SI"/>
        </w:rPr>
        <w:t>e</w:t>
      </w:r>
      <w:r w:rsidRPr="006900BC">
        <w:rPr>
          <w:lang w:val="sl-SI"/>
        </w:rPr>
        <w:t xml:space="preserve"> Komisije (EU) 2022/1039</w:t>
      </w:r>
      <w:bookmarkEnd w:id="3"/>
      <w:r>
        <w:rPr>
          <w:lang w:val="sl-SI"/>
        </w:rPr>
        <w:t xml:space="preserve">, </w:t>
      </w:r>
      <w:r w:rsidRPr="0076054E">
        <w:rPr>
          <w:lang w:val="sl-SI"/>
        </w:rPr>
        <w:t>s poreklom iz Indije, Indonezije in Kenije</w:t>
      </w:r>
      <w:r>
        <w:rPr>
          <w:lang w:val="sl-SI"/>
        </w:rPr>
        <w:t>, izvzete</w:t>
      </w:r>
      <w:r w:rsidRPr="0076054E">
        <w:rPr>
          <w:lang w:val="sl-SI"/>
        </w:rPr>
        <w:t xml:space="preserve"> iz ugodnosti </w:t>
      </w:r>
      <w:r>
        <w:rPr>
          <w:lang w:val="sl-SI"/>
        </w:rPr>
        <w:t xml:space="preserve">tarifnih preferencialov. Na podlagi </w:t>
      </w:r>
      <w:r w:rsidRPr="009F047A">
        <w:rPr>
          <w:lang w:val="sl-SI"/>
        </w:rPr>
        <w:t>Izvedben</w:t>
      </w:r>
      <w:r>
        <w:rPr>
          <w:lang w:val="sl-SI"/>
        </w:rPr>
        <w:t>e</w:t>
      </w:r>
      <w:r w:rsidRPr="009F047A">
        <w:rPr>
          <w:lang w:val="sl-SI"/>
        </w:rPr>
        <w:t xml:space="preserve"> uredb</w:t>
      </w:r>
      <w:r>
        <w:rPr>
          <w:lang w:val="sl-SI"/>
        </w:rPr>
        <w:t>e</w:t>
      </w:r>
      <w:r w:rsidRPr="009F047A">
        <w:rPr>
          <w:lang w:val="sl-SI"/>
        </w:rPr>
        <w:t xml:space="preserve"> Komisije (EU)</w:t>
      </w:r>
      <w:r>
        <w:rPr>
          <w:lang w:val="sl-SI"/>
        </w:rPr>
        <w:t xml:space="preserve"> </w:t>
      </w:r>
      <w:r w:rsidRPr="009F047A">
        <w:rPr>
          <w:lang w:val="sl-SI"/>
        </w:rPr>
        <w:t>2023/2780</w:t>
      </w:r>
      <w:r>
        <w:rPr>
          <w:lang w:val="sl-SI"/>
        </w:rPr>
        <w:t>,</w:t>
      </w:r>
      <w:r w:rsidRPr="009F047A">
        <w:rPr>
          <w:lang w:val="sl-SI"/>
        </w:rPr>
        <w:t xml:space="preserve"> z dne 14. decembra 2023</w:t>
      </w:r>
      <w:r>
        <w:rPr>
          <w:lang w:val="sl-SI"/>
        </w:rPr>
        <w:t>,</w:t>
      </w:r>
      <w:r w:rsidRPr="009F047A">
        <w:rPr>
          <w:lang w:val="sl-SI"/>
        </w:rPr>
        <w:t xml:space="preserve"> o spremembi Izvedbene uredbe Komisije (EU) 2022/1039 glede podaljšanja opustitve nekaterih tarifnih preferencialov za nekatere države upravičenke do GSP</w:t>
      </w:r>
      <w:r>
        <w:rPr>
          <w:lang w:val="sl-SI"/>
        </w:rPr>
        <w:t xml:space="preserve"> </w:t>
      </w:r>
      <w:r w:rsidRPr="008D1BA3">
        <w:rPr>
          <w:lang w:val="sl-SI"/>
        </w:rPr>
        <w:t>(</w:t>
      </w:r>
      <w:hyperlink r:id="rId12" w:history="1">
        <w:r w:rsidRPr="008D1BA3">
          <w:rPr>
            <w:rStyle w:val="Hiperpovezava"/>
            <w:lang w:val="sl-SI"/>
          </w:rPr>
          <w:t>Uradni list EU L, 2023/2780</w:t>
        </w:r>
      </w:hyperlink>
      <w:r w:rsidRPr="008D1BA3">
        <w:rPr>
          <w:lang w:val="sl-SI"/>
        </w:rPr>
        <w:t>, z dne 15. 12. 2023)</w:t>
      </w:r>
      <w:r>
        <w:rPr>
          <w:lang w:val="sl-SI"/>
        </w:rPr>
        <w:t xml:space="preserve"> je bila opustitev nekaterih tarifnih preferencialov iz</w:t>
      </w:r>
      <w:r w:rsidRPr="009F047A">
        <w:rPr>
          <w:lang w:val="sl-SI"/>
        </w:rPr>
        <w:t xml:space="preserve"> </w:t>
      </w:r>
      <w:r w:rsidRPr="006900BC">
        <w:rPr>
          <w:lang w:val="sl-SI"/>
        </w:rPr>
        <w:t>Izvedben</w:t>
      </w:r>
      <w:r>
        <w:rPr>
          <w:lang w:val="sl-SI"/>
        </w:rPr>
        <w:t>e</w:t>
      </w:r>
      <w:r w:rsidRPr="006900BC">
        <w:rPr>
          <w:lang w:val="sl-SI"/>
        </w:rPr>
        <w:t xml:space="preserve"> uredb</w:t>
      </w:r>
      <w:r>
        <w:rPr>
          <w:lang w:val="sl-SI"/>
        </w:rPr>
        <w:t>e</w:t>
      </w:r>
      <w:r w:rsidRPr="006900BC">
        <w:rPr>
          <w:lang w:val="sl-SI"/>
        </w:rPr>
        <w:t xml:space="preserve"> Komisije (EU) 2022/1039</w:t>
      </w:r>
      <w:r>
        <w:rPr>
          <w:lang w:val="sl-SI"/>
        </w:rPr>
        <w:t xml:space="preserve"> podaljšana do 31. decembra 2025. </w:t>
      </w:r>
    </w:p>
    <w:p w14:paraId="2C882E12" w14:textId="77777777" w:rsidR="00F4630B" w:rsidRDefault="00F4630B" w:rsidP="00F4630B">
      <w:pPr>
        <w:jc w:val="both"/>
        <w:rPr>
          <w:lang w:val="sl-SI"/>
        </w:rPr>
      </w:pPr>
    </w:p>
    <w:p w14:paraId="7F5C20BB" w14:textId="77777777" w:rsidR="00F4630B" w:rsidRDefault="00000000" w:rsidP="00F4630B">
      <w:pPr>
        <w:jc w:val="both"/>
        <w:rPr>
          <w:lang w:val="sl-SI"/>
        </w:rPr>
      </w:pPr>
      <w:r>
        <w:rPr>
          <w:lang w:val="sl-SI"/>
        </w:rPr>
        <w:t>Iz navedenega izhaja, da se situacija, vezana na uporabo sheme splošnih tarifnih preferencialov, v letu 2024 v primerjavi z letom 2023 ne spreminja.</w:t>
      </w:r>
    </w:p>
    <w:p w14:paraId="0C60AEFB" w14:textId="77777777" w:rsidR="007E6DC5" w:rsidRPr="00BC2517" w:rsidRDefault="007E6DC5" w:rsidP="007D75CF">
      <w:pPr>
        <w:rPr>
          <w:lang w:val="sl-SI"/>
        </w:rPr>
      </w:pPr>
    </w:p>
    <w:sectPr w:rsidR="007E6DC5" w:rsidRPr="00BC2517" w:rsidSect="00F00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31C2" w14:textId="77777777" w:rsidR="002D6F38" w:rsidRDefault="002D6F38">
      <w:pPr>
        <w:spacing w:line="240" w:lineRule="auto"/>
      </w:pPr>
      <w:r>
        <w:separator/>
      </w:r>
    </w:p>
  </w:endnote>
  <w:endnote w:type="continuationSeparator" w:id="0">
    <w:p w14:paraId="5A589906" w14:textId="77777777" w:rsidR="002D6F38" w:rsidRDefault="002D6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796D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AB33" w14:textId="77777777" w:rsidR="000B0B21" w:rsidRDefault="00000000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828A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BDF" w14:textId="77777777" w:rsidR="000B0B21" w:rsidRDefault="00000000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BF53" w14:textId="77777777" w:rsidR="002D6F38" w:rsidRDefault="002D6F38">
      <w:pPr>
        <w:spacing w:line="240" w:lineRule="auto"/>
      </w:pPr>
      <w:r>
        <w:separator/>
      </w:r>
    </w:p>
  </w:footnote>
  <w:footnote w:type="continuationSeparator" w:id="0">
    <w:p w14:paraId="5837C373" w14:textId="77777777" w:rsidR="002D6F38" w:rsidRDefault="002D6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C892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373E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12AF2" w14:paraId="02D9B7DF" w14:textId="77777777">
      <w:trPr>
        <w:cantSplit/>
        <w:trHeight w:hRule="exact" w:val="847"/>
      </w:trPr>
      <w:tc>
        <w:tcPr>
          <w:tcW w:w="567" w:type="dxa"/>
        </w:tcPr>
        <w:p w14:paraId="125E9493" w14:textId="77777777" w:rsidR="000B0B21" w:rsidRDefault="000000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17682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86A88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FD34B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DD18B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0B01F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56815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AD046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8ED1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12FB3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3C35B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E6557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68E2D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D2FF3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95A1C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6CC73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23FE2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56FA519" w14:textId="77777777" w:rsidR="000B0B21" w:rsidRPr="008F3500" w:rsidRDefault="0000000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812E79" wp14:editId="42E0A83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71DAE0A" w14:textId="77777777" w:rsidR="000B0B21" w:rsidRPr="00FD746A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28AA8D13" w14:textId="77777777" w:rsidR="00ED7E82" w:rsidRDefault="00000000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1F2EAC5" w14:textId="77777777" w:rsidR="005254D1" w:rsidRPr="00A12D5C" w:rsidRDefault="00000000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4F254B60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4C98A79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22D233AD" w14:textId="77777777" w:rsidR="005254D1" w:rsidRPr="008F3500" w:rsidRDefault="00000000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5154704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FD542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E29214" w:tentative="1">
      <w:start w:val="1"/>
      <w:numFmt w:val="lowerLetter"/>
      <w:lvlText w:val="%2."/>
      <w:lvlJc w:val="left"/>
      <w:pPr>
        <w:ind w:left="1800" w:hanging="360"/>
      </w:pPr>
    </w:lvl>
    <w:lvl w:ilvl="2" w:tplc="8D50AF5E" w:tentative="1">
      <w:start w:val="1"/>
      <w:numFmt w:val="lowerRoman"/>
      <w:lvlText w:val="%3."/>
      <w:lvlJc w:val="right"/>
      <w:pPr>
        <w:ind w:left="2520" w:hanging="180"/>
      </w:pPr>
    </w:lvl>
    <w:lvl w:ilvl="3" w:tplc="467EA4D6" w:tentative="1">
      <w:start w:val="1"/>
      <w:numFmt w:val="decimal"/>
      <w:lvlText w:val="%4."/>
      <w:lvlJc w:val="left"/>
      <w:pPr>
        <w:ind w:left="3240" w:hanging="360"/>
      </w:pPr>
    </w:lvl>
    <w:lvl w:ilvl="4" w:tplc="332A275C" w:tentative="1">
      <w:start w:val="1"/>
      <w:numFmt w:val="lowerLetter"/>
      <w:lvlText w:val="%5."/>
      <w:lvlJc w:val="left"/>
      <w:pPr>
        <w:ind w:left="3960" w:hanging="360"/>
      </w:pPr>
    </w:lvl>
    <w:lvl w:ilvl="5" w:tplc="4E42A496" w:tentative="1">
      <w:start w:val="1"/>
      <w:numFmt w:val="lowerRoman"/>
      <w:lvlText w:val="%6."/>
      <w:lvlJc w:val="right"/>
      <w:pPr>
        <w:ind w:left="4680" w:hanging="180"/>
      </w:pPr>
    </w:lvl>
    <w:lvl w:ilvl="6" w:tplc="B60EBB80" w:tentative="1">
      <w:start w:val="1"/>
      <w:numFmt w:val="decimal"/>
      <w:lvlText w:val="%7."/>
      <w:lvlJc w:val="left"/>
      <w:pPr>
        <w:ind w:left="5400" w:hanging="360"/>
      </w:pPr>
    </w:lvl>
    <w:lvl w:ilvl="7" w:tplc="D7A202A4" w:tentative="1">
      <w:start w:val="1"/>
      <w:numFmt w:val="lowerLetter"/>
      <w:lvlText w:val="%8."/>
      <w:lvlJc w:val="left"/>
      <w:pPr>
        <w:ind w:left="6120" w:hanging="360"/>
      </w:pPr>
    </w:lvl>
    <w:lvl w:ilvl="8" w:tplc="8E92FD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445E1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501F9E" w:tentative="1">
      <w:start w:val="1"/>
      <w:numFmt w:val="lowerLetter"/>
      <w:lvlText w:val="%2."/>
      <w:lvlJc w:val="left"/>
      <w:pPr>
        <w:ind w:left="1080" w:hanging="360"/>
      </w:pPr>
    </w:lvl>
    <w:lvl w:ilvl="2" w:tplc="356CCC2A" w:tentative="1">
      <w:start w:val="1"/>
      <w:numFmt w:val="lowerRoman"/>
      <w:lvlText w:val="%3."/>
      <w:lvlJc w:val="right"/>
      <w:pPr>
        <w:ind w:left="1800" w:hanging="180"/>
      </w:pPr>
    </w:lvl>
    <w:lvl w:ilvl="3" w:tplc="0F58EE80" w:tentative="1">
      <w:start w:val="1"/>
      <w:numFmt w:val="decimal"/>
      <w:lvlText w:val="%4."/>
      <w:lvlJc w:val="left"/>
      <w:pPr>
        <w:ind w:left="2520" w:hanging="360"/>
      </w:pPr>
    </w:lvl>
    <w:lvl w:ilvl="4" w:tplc="2618D714" w:tentative="1">
      <w:start w:val="1"/>
      <w:numFmt w:val="lowerLetter"/>
      <w:lvlText w:val="%5."/>
      <w:lvlJc w:val="left"/>
      <w:pPr>
        <w:ind w:left="3240" w:hanging="360"/>
      </w:pPr>
    </w:lvl>
    <w:lvl w:ilvl="5" w:tplc="9438C530" w:tentative="1">
      <w:start w:val="1"/>
      <w:numFmt w:val="lowerRoman"/>
      <w:lvlText w:val="%6."/>
      <w:lvlJc w:val="right"/>
      <w:pPr>
        <w:ind w:left="3960" w:hanging="180"/>
      </w:pPr>
    </w:lvl>
    <w:lvl w:ilvl="6" w:tplc="77B838AE" w:tentative="1">
      <w:start w:val="1"/>
      <w:numFmt w:val="decimal"/>
      <w:lvlText w:val="%7."/>
      <w:lvlJc w:val="left"/>
      <w:pPr>
        <w:ind w:left="4680" w:hanging="360"/>
      </w:pPr>
    </w:lvl>
    <w:lvl w:ilvl="7" w:tplc="F3AE0692" w:tentative="1">
      <w:start w:val="1"/>
      <w:numFmt w:val="lowerLetter"/>
      <w:lvlText w:val="%8."/>
      <w:lvlJc w:val="left"/>
      <w:pPr>
        <w:ind w:left="5400" w:hanging="360"/>
      </w:pPr>
    </w:lvl>
    <w:lvl w:ilvl="8" w:tplc="77B024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122EF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A0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69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49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23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86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80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0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46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CAC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4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D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84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D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84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6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68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0D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5564">
    <w:abstractNumId w:val="4"/>
  </w:num>
  <w:num w:numId="2" w16cid:durableId="992874292">
    <w:abstractNumId w:val="2"/>
  </w:num>
  <w:num w:numId="3" w16cid:durableId="363602353">
    <w:abstractNumId w:val="3"/>
  </w:num>
  <w:num w:numId="4" w16cid:durableId="1989238993">
    <w:abstractNumId w:val="0"/>
  </w:num>
  <w:num w:numId="5" w16cid:durableId="151391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C4548"/>
    <w:rsid w:val="000D08A9"/>
    <w:rsid w:val="000F3D38"/>
    <w:rsid w:val="000F7947"/>
    <w:rsid w:val="00110CBD"/>
    <w:rsid w:val="001357B2"/>
    <w:rsid w:val="00151388"/>
    <w:rsid w:val="00151872"/>
    <w:rsid w:val="00160E5F"/>
    <w:rsid w:val="00165C73"/>
    <w:rsid w:val="001A3BA5"/>
    <w:rsid w:val="001F3B21"/>
    <w:rsid w:val="001F7BC0"/>
    <w:rsid w:val="00202A7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D6F38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B692F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4B6F55"/>
    <w:rsid w:val="005149DF"/>
    <w:rsid w:val="005254D1"/>
    <w:rsid w:val="00525C18"/>
    <w:rsid w:val="00526246"/>
    <w:rsid w:val="0055206D"/>
    <w:rsid w:val="00567106"/>
    <w:rsid w:val="005709F2"/>
    <w:rsid w:val="005916E5"/>
    <w:rsid w:val="005B0438"/>
    <w:rsid w:val="005E1D3C"/>
    <w:rsid w:val="00606685"/>
    <w:rsid w:val="00612AF2"/>
    <w:rsid w:val="006268BE"/>
    <w:rsid w:val="00632253"/>
    <w:rsid w:val="00642714"/>
    <w:rsid w:val="00643C4E"/>
    <w:rsid w:val="006455CE"/>
    <w:rsid w:val="006900BC"/>
    <w:rsid w:val="006D42D9"/>
    <w:rsid w:val="006D573B"/>
    <w:rsid w:val="006F142E"/>
    <w:rsid w:val="00726463"/>
    <w:rsid w:val="00726930"/>
    <w:rsid w:val="00733017"/>
    <w:rsid w:val="00751D38"/>
    <w:rsid w:val="0076054E"/>
    <w:rsid w:val="00775FED"/>
    <w:rsid w:val="00783310"/>
    <w:rsid w:val="00794B95"/>
    <w:rsid w:val="00794E63"/>
    <w:rsid w:val="007A4A6D"/>
    <w:rsid w:val="007D1BCF"/>
    <w:rsid w:val="007D75CF"/>
    <w:rsid w:val="007E6DC5"/>
    <w:rsid w:val="0088043C"/>
    <w:rsid w:val="008906C9"/>
    <w:rsid w:val="008A5918"/>
    <w:rsid w:val="008B2E72"/>
    <w:rsid w:val="008C00F2"/>
    <w:rsid w:val="008C5738"/>
    <w:rsid w:val="008D04F0"/>
    <w:rsid w:val="008D1BA3"/>
    <w:rsid w:val="008E2D84"/>
    <w:rsid w:val="008F3500"/>
    <w:rsid w:val="009022B3"/>
    <w:rsid w:val="00924E3C"/>
    <w:rsid w:val="00925A8B"/>
    <w:rsid w:val="009612BB"/>
    <w:rsid w:val="009A6AF6"/>
    <w:rsid w:val="009B0295"/>
    <w:rsid w:val="009C5340"/>
    <w:rsid w:val="009E42F2"/>
    <w:rsid w:val="009F047A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53A6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A28CB"/>
    <w:rsid w:val="00CE7514"/>
    <w:rsid w:val="00D22384"/>
    <w:rsid w:val="00D248DE"/>
    <w:rsid w:val="00D25427"/>
    <w:rsid w:val="00D31B74"/>
    <w:rsid w:val="00D3564D"/>
    <w:rsid w:val="00D43EAA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D00D1"/>
    <w:rsid w:val="00ED7E82"/>
    <w:rsid w:val="00EF3280"/>
    <w:rsid w:val="00F0025B"/>
    <w:rsid w:val="00F02E53"/>
    <w:rsid w:val="00F12F7D"/>
    <w:rsid w:val="00F240BB"/>
    <w:rsid w:val="00F42CE8"/>
    <w:rsid w:val="00F4630B"/>
    <w:rsid w:val="00F46724"/>
    <w:rsid w:val="00F47F58"/>
    <w:rsid w:val="00F57FED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2D00B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uriserv%3AOJ.L_.2012.303.01.0001.01.SLV&amp;toc=OJ%3AL%3A2012%3A303%3AT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OJ:L_20230278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uriserv%3AOJ.L_.2022.173.01.0058.01.SLV&amp;toc=OJ%3AL%3A2022%3A173%3AT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axation-customs.ec.europa.eu/online-services/online-services-and-databases-customs/rex-registered-exporter-system_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OJ:L_202302663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Ana Maček</cp:lastModifiedBy>
  <cp:revision>2</cp:revision>
  <cp:lastPrinted>2010-07-05T10:38:00Z</cp:lastPrinted>
  <dcterms:created xsi:type="dcterms:W3CDTF">2023-12-27T10:17:00Z</dcterms:created>
  <dcterms:modified xsi:type="dcterms:W3CDTF">2023-12-27T10:17:00Z</dcterms:modified>
</cp:coreProperties>
</file>